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9826" w14:textId="77777777" w:rsidR="005565D3" w:rsidRDefault="005565D3" w:rsidP="005565D3">
      <w:pPr>
        <w:pStyle w:val="Default"/>
        <w:jc w:val="center"/>
      </w:pPr>
    </w:p>
    <w:p w14:paraId="189C9447" w14:textId="77777777" w:rsidR="005565D3" w:rsidRDefault="005565D3" w:rsidP="005565D3">
      <w:pPr>
        <w:pStyle w:val="Default"/>
        <w:jc w:val="center"/>
      </w:pPr>
    </w:p>
    <w:p w14:paraId="49F133B2" w14:textId="77777777" w:rsidR="005565D3" w:rsidRDefault="005565D3" w:rsidP="005565D3">
      <w:pPr>
        <w:pStyle w:val="Default"/>
        <w:jc w:val="center"/>
      </w:pPr>
    </w:p>
    <w:p w14:paraId="45590D94" w14:textId="77777777" w:rsidR="005565D3" w:rsidRDefault="005565D3" w:rsidP="005565D3">
      <w:pPr>
        <w:pStyle w:val="Default"/>
        <w:jc w:val="center"/>
      </w:pPr>
    </w:p>
    <w:p w14:paraId="046ABF69" w14:textId="77777777" w:rsidR="005565D3" w:rsidRDefault="005565D3" w:rsidP="005565D3">
      <w:pPr>
        <w:pStyle w:val="Default"/>
        <w:jc w:val="center"/>
      </w:pPr>
    </w:p>
    <w:p w14:paraId="0E3DCE0E" w14:textId="77777777" w:rsidR="005565D3" w:rsidRDefault="005565D3" w:rsidP="005565D3">
      <w:pPr>
        <w:pStyle w:val="Default"/>
        <w:jc w:val="center"/>
      </w:pPr>
    </w:p>
    <w:p w14:paraId="74169752" w14:textId="77777777" w:rsidR="005565D3" w:rsidRDefault="005565D3" w:rsidP="005565D3">
      <w:pPr>
        <w:pStyle w:val="Default"/>
        <w:jc w:val="center"/>
      </w:pPr>
    </w:p>
    <w:p w14:paraId="21B81363" w14:textId="77777777" w:rsidR="005565D3" w:rsidRDefault="005565D3" w:rsidP="005565D3">
      <w:pPr>
        <w:pStyle w:val="Default"/>
        <w:jc w:val="center"/>
      </w:pPr>
    </w:p>
    <w:p w14:paraId="2DCC7457" w14:textId="77777777" w:rsidR="005565D3" w:rsidRDefault="005565D3" w:rsidP="005565D3">
      <w:pPr>
        <w:pStyle w:val="Default"/>
        <w:jc w:val="center"/>
      </w:pPr>
    </w:p>
    <w:p w14:paraId="1797EA00" w14:textId="77777777" w:rsidR="005565D3" w:rsidRDefault="005565D3" w:rsidP="005565D3">
      <w:pPr>
        <w:pStyle w:val="Default"/>
        <w:jc w:val="center"/>
      </w:pPr>
    </w:p>
    <w:p w14:paraId="39F8C4E9" w14:textId="77777777" w:rsidR="005565D3" w:rsidRDefault="005565D3" w:rsidP="005565D3">
      <w:pPr>
        <w:pStyle w:val="Default"/>
        <w:jc w:val="center"/>
      </w:pPr>
    </w:p>
    <w:p w14:paraId="17A7005B" w14:textId="77777777" w:rsidR="005565D3" w:rsidRDefault="005565D3" w:rsidP="005565D3">
      <w:pPr>
        <w:pStyle w:val="Default"/>
        <w:jc w:val="center"/>
      </w:pPr>
    </w:p>
    <w:p w14:paraId="7CC55123" w14:textId="77777777" w:rsidR="005565D3" w:rsidRDefault="005565D3" w:rsidP="005565D3">
      <w:pPr>
        <w:pStyle w:val="Default"/>
        <w:jc w:val="center"/>
      </w:pPr>
    </w:p>
    <w:p w14:paraId="38C6A0C1" w14:textId="77777777" w:rsidR="005565D3" w:rsidRDefault="005565D3" w:rsidP="005565D3">
      <w:pPr>
        <w:pStyle w:val="Default"/>
        <w:jc w:val="center"/>
      </w:pPr>
    </w:p>
    <w:p w14:paraId="3711DB77" w14:textId="77777777" w:rsidR="005565D3" w:rsidRDefault="005565D3" w:rsidP="005565D3">
      <w:pPr>
        <w:pStyle w:val="Default"/>
        <w:jc w:val="center"/>
      </w:pPr>
    </w:p>
    <w:p w14:paraId="69BBA8F8" w14:textId="77777777" w:rsidR="005565D3" w:rsidRDefault="005565D3" w:rsidP="005565D3">
      <w:pPr>
        <w:pStyle w:val="Default"/>
        <w:jc w:val="center"/>
      </w:pPr>
    </w:p>
    <w:p w14:paraId="5F4E10A7" w14:textId="77777777" w:rsidR="005565D3" w:rsidRDefault="005565D3" w:rsidP="005565D3">
      <w:pPr>
        <w:pStyle w:val="Default"/>
        <w:jc w:val="center"/>
      </w:pPr>
    </w:p>
    <w:p w14:paraId="50E1B959" w14:textId="77777777" w:rsidR="005565D3" w:rsidRDefault="005565D3" w:rsidP="005565D3">
      <w:pPr>
        <w:pStyle w:val="Default"/>
        <w:jc w:val="center"/>
      </w:pPr>
    </w:p>
    <w:p w14:paraId="7E906DA2" w14:textId="77777777" w:rsidR="005565D3" w:rsidRDefault="005565D3" w:rsidP="005565D3">
      <w:pPr>
        <w:pStyle w:val="Default"/>
        <w:jc w:val="center"/>
      </w:pPr>
    </w:p>
    <w:p w14:paraId="05CAEC0C" w14:textId="77777777" w:rsidR="005565D3" w:rsidRDefault="005565D3" w:rsidP="005565D3">
      <w:pPr>
        <w:pStyle w:val="Default"/>
        <w:jc w:val="center"/>
      </w:pPr>
    </w:p>
    <w:p w14:paraId="54CE3624" w14:textId="77777777" w:rsidR="005565D3" w:rsidRDefault="005565D3" w:rsidP="005565D3">
      <w:pPr>
        <w:pStyle w:val="Default"/>
        <w:jc w:val="center"/>
      </w:pPr>
    </w:p>
    <w:p w14:paraId="05FFDC3F" w14:textId="77777777" w:rsidR="005565D3" w:rsidRDefault="005565D3" w:rsidP="005565D3">
      <w:pPr>
        <w:pStyle w:val="Default"/>
        <w:jc w:val="center"/>
        <w:rPr>
          <w:rStyle w:val="normaltextrun"/>
          <w:rFonts w:ascii="Arial Narrow" w:eastAsia="Times New Roman" w:hAnsi="Arial Narrow" w:cs="Segoe UI"/>
          <w:b/>
          <w:bCs/>
          <w:color w:val="auto"/>
          <w:sz w:val="22"/>
          <w:szCs w:val="22"/>
          <w:lang w:eastAsia="tr-TR"/>
        </w:rPr>
      </w:pPr>
      <w:r w:rsidRPr="004F1038">
        <w:rPr>
          <w:rStyle w:val="normaltextrun"/>
          <w:rFonts w:ascii="Arial Narrow" w:eastAsia="Times New Roman" w:hAnsi="Arial Narrow" w:cs="Segoe UI"/>
          <w:b/>
          <w:bCs/>
          <w:color w:val="auto"/>
          <w:sz w:val="22"/>
          <w:szCs w:val="22"/>
          <w:lang w:eastAsia="tr-TR"/>
        </w:rPr>
        <w:t xml:space="preserve">HEDEF PORTFÖY MUTLAK GETİRİ HEDEFLİ HİSSE SENEDİ </w:t>
      </w:r>
    </w:p>
    <w:p w14:paraId="43B11635" w14:textId="77777777" w:rsidR="005565D3" w:rsidRDefault="005565D3" w:rsidP="005565D3">
      <w:pPr>
        <w:pStyle w:val="Default"/>
        <w:jc w:val="center"/>
        <w:rPr>
          <w:rStyle w:val="normaltextrun"/>
          <w:rFonts w:ascii="Arial Narrow" w:eastAsia="Times New Roman" w:hAnsi="Arial Narrow" w:cs="Segoe UI"/>
          <w:b/>
          <w:bCs/>
          <w:color w:val="auto"/>
          <w:sz w:val="22"/>
          <w:szCs w:val="22"/>
          <w:lang w:eastAsia="tr-TR"/>
        </w:rPr>
      </w:pPr>
      <w:r w:rsidRPr="004F1038">
        <w:rPr>
          <w:rStyle w:val="normaltextrun"/>
          <w:rFonts w:ascii="Arial Narrow" w:eastAsia="Times New Roman" w:hAnsi="Arial Narrow" w:cs="Segoe UI"/>
          <w:b/>
          <w:bCs/>
          <w:color w:val="auto"/>
          <w:sz w:val="22"/>
          <w:szCs w:val="22"/>
          <w:lang w:eastAsia="tr-TR"/>
        </w:rPr>
        <w:t>SERBEST (TL) FON  (HİSSE SENEDİ YOĞUN FON)</w:t>
      </w:r>
    </w:p>
    <w:p w14:paraId="7BADC75E" w14:textId="77777777" w:rsidR="005565D3" w:rsidRPr="00700FDE" w:rsidRDefault="005565D3" w:rsidP="005565D3">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54C6525D" w14:textId="77777777" w:rsidR="005565D3" w:rsidRPr="00700FDE" w:rsidRDefault="005565D3" w:rsidP="005565D3">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5752A54E" w14:textId="77777777" w:rsidR="005565D3" w:rsidRPr="00700FDE" w:rsidRDefault="005565D3" w:rsidP="005565D3">
      <w:pPr>
        <w:tabs>
          <w:tab w:val="left" w:pos="2730"/>
        </w:tabs>
        <w:jc w:val="center"/>
        <w:rPr>
          <w:rFonts w:ascii="Arial Narrow" w:hAnsi="Arial Narrow"/>
        </w:rPr>
      </w:pPr>
      <w:r w:rsidRPr="00700FDE">
        <w:rPr>
          <w:rFonts w:ascii="Arial Narrow" w:hAnsi="Arial Narrow"/>
        </w:rPr>
        <w:t>KAMUYA AÇIKLANAN BİLGİLERE İLİŞKİN RAPOR</w:t>
      </w:r>
    </w:p>
    <w:p w14:paraId="51FB5C46" w14:textId="77777777" w:rsidR="005565D3" w:rsidRDefault="005565D3" w:rsidP="00621CF3">
      <w:pPr>
        <w:spacing w:after="0"/>
        <w:sectPr w:rsidR="005565D3" w:rsidSect="008A60CB">
          <w:headerReference w:type="default" r:id="rId9"/>
          <w:pgSz w:w="11906" w:h="16838"/>
          <w:pgMar w:top="1417" w:right="1417" w:bottom="1417" w:left="1417" w:header="708" w:footer="708" w:gutter="0"/>
          <w:cols w:space="708"/>
          <w:titlePg/>
          <w:docGrid w:linePitch="360"/>
        </w:sectPr>
      </w:pPr>
    </w:p>
    <w:p w14:paraId="67D58BCF" w14:textId="77777777"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661756B" w14:textId="77777777"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63E24EF4" w14:textId="77777777"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BFBD29C" w14:textId="77777777"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6CBA110" w14:textId="77777777"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7FCE712" w14:textId="77777777"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4F1038">
        <w:rPr>
          <w:rStyle w:val="normaltextrun"/>
          <w:rFonts w:ascii="Arial Narrow" w:hAnsi="Arial Narrow" w:cs="Segoe UI"/>
          <w:b/>
          <w:bCs/>
          <w:sz w:val="22"/>
          <w:szCs w:val="22"/>
        </w:rPr>
        <w:t xml:space="preserve">HEDEF PORTFÖY MUTLAK GETİRİ HEDEFLİ HİSSE SENEDİ </w:t>
      </w:r>
    </w:p>
    <w:p w14:paraId="31793035" w14:textId="3C39876A" w:rsidR="005565D3" w:rsidRDefault="005565D3" w:rsidP="005565D3">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4F1038">
        <w:rPr>
          <w:rStyle w:val="normaltextrun"/>
          <w:rFonts w:ascii="Arial Narrow" w:hAnsi="Arial Narrow" w:cs="Segoe UI"/>
          <w:b/>
          <w:bCs/>
          <w:sz w:val="22"/>
          <w:szCs w:val="22"/>
        </w:rPr>
        <w:t>SERBEST (TL) FON  (HİSSE SENEDİ YOĞUN FON)</w:t>
      </w:r>
    </w:p>
    <w:p w14:paraId="113B1EFF" w14:textId="77777777" w:rsidR="005565D3" w:rsidRDefault="005565D3" w:rsidP="005565D3">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2420E9E4" w14:textId="77777777" w:rsidR="005565D3" w:rsidRDefault="005565D3" w:rsidP="005565D3">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1DB98DB9"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27EA707"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 Mutlak Getiri Hedefli Hisse Senedi Serbest (TL) Fon’un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7FDAB9EA"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51B4850"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02B1D3BF"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B150014"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6FB0FA39"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37C5052"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03223E1F" w14:textId="77777777" w:rsidR="005565D3" w:rsidRDefault="005565D3" w:rsidP="005565D3">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53B5E721"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0470BBDB"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3E36306"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55ACC4C"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375C67D6"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6F0849B1"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BFFFA0C"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62863D2"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68A3161"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E9511A9"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7D33571"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CB620F7"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521B99AB"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07E30B38"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C320B82" w14:textId="77777777" w:rsidR="005565D3" w:rsidRDefault="005565D3" w:rsidP="005565D3">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7DEE494E" w14:textId="77777777" w:rsidR="005565D3" w:rsidRDefault="005565D3" w:rsidP="00621CF3">
      <w:pPr>
        <w:spacing w:after="0"/>
        <w:sectPr w:rsidR="005565D3" w:rsidSect="008A60CB">
          <w:headerReference w:type="first" r:id="rId10"/>
          <w:pgSz w:w="11906" w:h="16838"/>
          <w:pgMar w:top="1417" w:right="1417" w:bottom="1417" w:left="1417" w:header="708" w:footer="708" w:gutter="0"/>
          <w:cols w:space="708"/>
          <w:titlePg/>
          <w:docGrid w:linePitch="360"/>
        </w:sectPr>
      </w:pPr>
    </w:p>
    <w:p w14:paraId="40BF73F2" w14:textId="330FBDBA"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431D256B" w14:textId="77777777" w:rsidR="005565D3" w:rsidRDefault="005565D3" w:rsidP="00621CF3">
      <w:pPr>
        <w:spacing w:after="0"/>
      </w:pPr>
    </w:p>
    <w:p w14:paraId="503154C2" w14:textId="77777777" w:rsidR="005565D3" w:rsidRDefault="005565D3" w:rsidP="00621CF3">
      <w:pPr>
        <w:spacing w:after="0"/>
      </w:pPr>
    </w:p>
    <w:p w14:paraId="0F8D7CFB" w14:textId="77777777" w:rsidR="005565D3" w:rsidRDefault="005565D3" w:rsidP="00621CF3">
      <w:pPr>
        <w:spacing w:after="0"/>
      </w:pPr>
    </w:p>
    <w:p w14:paraId="42006F3E" w14:textId="77777777" w:rsidR="005565D3" w:rsidRDefault="005565D3" w:rsidP="00621CF3">
      <w:pPr>
        <w:spacing w:after="0"/>
      </w:pPr>
    </w:p>
    <w:p w14:paraId="25B870FF" w14:textId="77777777" w:rsidR="005565D3" w:rsidRDefault="005565D3" w:rsidP="00621CF3">
      <w:pPr>
        <w:spacing w:after="0"/>
      </w:pPr>
    </w:p>
    <w:p w14:paraId="2FD3A773" w14:textId="77777777" w:rsidR="005565D3" w:rsidRDefault="005565D3" w:rsidP="00621CF3">
      <w:pPr>
        <w:spacing w:after="0"/>
      </w:pPr>
    </w:p>
    <w:p w14:paraId="65CBC52F" w14:textId="77777777" w:rsidR="005565D3" w:rsidRDefault="005565D3"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79AB75D2" w14:textId="6F326A73" w:rsidR="006C07D6" w:rsidRPr="00032E31" w:rsidRDefault="006C1991" w:rsidP="00621CF3">
      <w:pPr>
        <w:spacing w:after="0"/>
        <w:jc w:val="center"/>
        <w:rPr>
          <w:rFonts w:ascii="Times New Roman" w:hAnsi="Times New Roman" w:cs="Times New Roman"/>
          <w:b/>
          <w:sz w:val="28"/>
          <w:szCs w:val="28"/>
        </w:rPr>
      </w:pPr>
      <w:r>
        <w:rPr>
          <w:rFonts w:ascii="Times New Roman" w:hAnsi="Times New Roman" w:cs="Times New Roman"/>
          <w:b/>
          <w:sz w:val="28"/>
          <w:szCs w:val="28"/>
        </w:rPr>
        <w:t>HEDEF PORTFÖY MUTLAK GETİRİ HEDEFLİ HİSSE SENEDİ SERBEST (TL) FON (HİSSE SENEDİ YOĞUN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75B6AB76" w:rsidR="00621CF3" w:rsidRPr="00237C1F" w:rsidRDefault="00011985"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6C1991">
        <w:rPr>
          <w:rFonts w:ascii="Times New Roman" w:hAnsi="Times New Roman" w:cs="Times New Roman"/>
          <w:sz w:val="24"/>
          <w:szCs w:val="24"/>
        </w:rPr>
        <w:t xml:space="preserve">- </w:t>
      </w:r>
      <w:r w:rsidR="00237E2E" w:rsidRPr="00237E2E">
        <w:rPr>
          <w:rFonts w:ascii="Times New Roman" w:hAnsi="Times New Roman" w:cs="Times New Roman"/>
          <w:sz w:val="24"/>
          <w:szCs w:val="24"/>
        </w:rPr>
        <w:t xml:space="preserve">30 HAZİRAN 2024 </w:t>
      </w:r>
      <w:r>
        <w:rPr>
          <w:rFonts w:ascii="Times New Roman" w:hAnsi="Times New Roman" w:cs="Times New Roman"/>
          <w:sz w:val="24"/>
          <w:szCs w:val="24"/>
        </w:rPr>
        <w:t xml:space="preserve"> </w:t>
      </w:r>
      <w:r w:rsidR="00621CF3" w:rsidRPr="00237C1F">
        <w:rPr>
          <w:rFonts w:ascii="Times New Roman" w:hAnsi="Times New Roman" w:cs="Times New Roman"/>
          <w:sz w:val="24"/>
          <w:szCs w:val="24"/>
        </w:rPr>
        <w:t xml:space="preserve">DÖNEMİNE AİT </w:t>
      </w:r>
    </w:p>
    <w:p w14:paraId="507BF98E" w14:textId="77777777"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 </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10A21E75"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1F03D6" w:rsidRDefault="00621CF3" w:rsidP="00621CF3">
      <w:pPr>
        <w:pStyle w:val="ListeParagraf"/>
        <w:numPr>
          <w:ilvl w:val="0"/>
          <w:numId w:val="1"/>
        </w:numPr>
        <w:rPr>
          <w:rFonts w:ascii="Times New Roman" w:hAnsi="Times New Roman" w:cs="Times New Roman"/>
          <w:b/>
          <w:sz w:val="24"/>
          <w:szCs w:val="24"/>
        </w:rPr>
      </w:pPr>
      <w:r w:rsidRPr="001F03D6">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1F03D6" w14:paraId="1687B3A0" w14:textId="77777777" w:rsidTr="007158BB">
        <w:trPr>
          <w:trHeight w:val="818"/>
        </w:trPr>
        <w:tc>
          <w:tcPr>
            <w:tcW w:w="3539" w:type="dxa"/>
            <w:gridSpan w:val="2"/>
          </w:tcPr>
          <w:p w14:paraId="14F7997E"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PORTFÖYE BAKIŞ</w:t>
            </w:r>
          </w:p>
          <w:p w14:paraId="79C8466B" w14:textId="77777777" w:rsidR="001B1348" w:rsidRPr="001F03D6" w:rsidRDefault="001B1348" w:rsidP="001B1348">
            <w:pPr>
              <w:jc w:val="center"/>
              <w:rPr>
                <w:rFonts w:ascii="Times New Roman" w:hAnsi="Times New Roman" w:cs="Times New Roman"/>
                <w:sz w:val="24"/>
                <w:szCs w:val="24"/>
              </w:rPr>
            </w:pPr>
            <w:r w:rsidRPr="001F03D6">
              <w:rPr>
                <w:rFonts w:ascii="Times New Roman" w:hAnsi="Times New Roman" w:cs="Times New Roman"/>
                <w:sz w:val="24"/>
                <w:szCs w:val="24"/>
              </w:rPr>
              <w:t>Fon’un Halka Arz Tarihi:</w:t>
            </w:r>
          </w:p>
          <w:p w14:paraId="13427A4C" w14:textId="2EAC5C80" w:rsidR="001B1348" w:rsidRPr="001F03D6" w:rsidRDefault="006C1991" w:rsidP="001B1348">
            <w:pPr>
              <w:jc w:val="center"/>
              <w:rPr>
                <w:rFonts w:ascii="Times New Roman" w:hAnsi="Times New Roman" w:cs="Times New Roman"/>
                <w:sz w:val="24"/>
                <w:szCs w:val="24"/>
              </w:rPr>
            </w:pPr>
            <w:r>
              <w:rPr>
                <w:rFonts w:ascii="Times New Roman" w:hAnsi="Times New Roman" w:cs="Times New Roman"/>
                <w:sz w:val="24"/>
                <w:szCs w:val="24"/>
              </w:rPr>
              <w:t>01 Ağustos 2022</w:t>
            </w:r>
          </w:p>
        </w:tc>
        <w:tc>
          <w:tcPr>
            <w:tcW w:w="5477" w:type="dxa"/>
          </w:tcPr>
          <w:p w14:paraId="785A8029" w14:textId="77777777" w:rsidR="001B1348" w:rsidRPr="001F03D6" w:rsidRDefault="001B1348" w:rsidP="001B1348">
            <w:pPr>
              <w:jc w:val="center"/>
              <w:rPr>
                <w:rFonts w:ascii="Times New Roman" w:hAnsi="Times New Roman" w:cs="Times New Roman"/>
                <w:b/>
                <w:sz w:val="24"/>
                <w:szCs w:val="24"/>
              </w:rPr>
            </w:pPr>
          </w:p>
          <w:p w14:paraId="42F39AD5"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YATIRIM VE YÖNETİME İLİŞKİN BİLGİLER</w:t>
            </w:r>
          </w:p>
        </w:tc>
      </w:tr>
      <w:tr w:rsidR="001B1348" w:rsidRPr="001F03D6" w14:paraId="52D08609" w14:textId="77777777" w:rsidTr="007158BB">
        <w:trPr>
          <w:trHeight w:val="272"/>
        </w:trPr>
        <w:tc>
          <w:tcPr>
            <w:tcW w:w="3539" w:type="dxa"/>
            <w:gridSpan w:val="2"/>
          </w:tcPr>
          <w:p w14:paraId="6F02B738" w14:textId="34FD0845" w:rsidR="001B1348" w:rsidRPr="001F03D6" w:rsidRDefault="00B302E1" w:rsidP="007D75CD">
            <w:pPr>
              <w:jc w:val="center"/>
              <w:rPr>
                <w:rFonts w:ascii="Times New Roman" w:hAnsi="Times New Roman" w:cs="Times New Roman"/>
                <w:b/>
                <w:sz w:val="24"/>
                <w:szCs w:val="24"/>
              </w:rPr>
            </w:pPr>
            <w:r w:rsidRPr="00B302E1">
              <w:rPr>
                <w:rFonts w:ascii="Times New Roman" w:hAnsi="Times New Roman" w:cs="Times New Roman"/>
                <w:b/>
                <w:sz w:val="24"/>
                <w:szCs w:val="24"/>
              </w:rPr>
              <w:t>30 Haziran 2024 itibariyle</w:t>
            </w:r>
          </w:p>
        </w:tc>
        <w:tc>
          <w:tcPr>
            <w:tcW w:w="5477" w:type="dxa"/>
          </w:tcPr>
          <w:p w14:paraId="563BE517"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 Yöneticileri</w:t>
            </w:r>
          </w:p>
        </w:tc>
      </w:tr>
      <w:tr w:rsidR="001B1348" w:rsidRPr="001F03D6" w14:paraId="1C4CE836" w14:textId="77777777" w:rsidTr="007158BB">
        <w:trPr>
          <w:trHeight w:val="546"/>
        </w:trPr>
        <w:tc>
          <w:tcPr>
            <w:tcW w:w="1823" w:type="dxa"/>
          </w:tcPr>
          <w:p w14:paraId="24B2E994"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Fon Toplam Değeri</w:t>
            </w:r>
          </w:p>
        </w:tc>
        <w:tc>
          <w:tcPr>
            <w:tcW w:w="1716" w:type="dxa"/>
          </w:tcPr>
          <w:p w14:paraId="7EB7923A" w14:textId="2C782A40" w:rsidR="001B1348" w:rsidRPr="001F03D6" w:rsidRDefault="00007597" w:rsidP="00236423">
            <w:pPr>
              <w:jc w:val="right"/>
              <w:rPr>
                <w:rFonts w:ascii="Times New Roman" w:hAnsi="Times New Roman" w:cs="Times New Roman"/>
                <w:sz w:val="24"/>
                <w:szCs w:val="24"/>
              </w:rPr>
            </w:pPr>
            <w:r w:rsidRPr="00007597">
              <w:rPr>
                <w:rFonts w:ascii="Times New Roman" w:hAnsi="Times New Roman" w:cs="Times New Roman"/>
                <w:sz w:val="24"/>
                <w:szCs w:val="24"/>
              </w:rPr>
              <w:t>1.855.483,03</w:t>
            </w:r>
          </w:p>
        </w:tc>
        <w:tc>
          <w:tcPr>
            <w:tcW w:w="5477" w:type="dxa"/>
          </w:tcPr>
          <w:p w14:paraId="2D3D6EEA" w14:textId="57BDC881" w:rsidR="001B1348" w:rsidRPr="001F03D6" w:rsidRDefault="0048537A"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20C01246" w:rsidR="00E3650A" w:rsidRPr="001F03D6" w:rsidRDefault="0048537A"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1F03D6" w14:paraId="49414BC0" w14:textId="77777777" w:rsidTr="007158BB">
        <w:trPr>
          <w:trHeight w:val="546"/>
        </w:trPr>
        <w:tc>
          <w:tcPr>
            <w:tcW w:w="1823" w:type="dxa"/>
          </w:tcPr>
          <w:p w14:paraId="4D752AFF"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Birim Pay Değeri</w:t>
            </w:r>
          </w:p>
        </w:tc>
        <w:tc>
          <w:tcPr>
            <w:tcW w:w="1716" w:type="dxa"/>
          </w:tcPr>
          <w:p w14:paraId="22FF4823" w14:textId="201720A3" w:rsidR="00237C1F" w:rsidRPr="001F03D6" w:rsidRDefault="00007597" w:rsidP="00236423">
            <w:pPr>
              <w:jc w:val="right"/>
              <w:rPr>
                <w:rFonts w:ascii="Times New Roman" w:hAnsi="Times New Roman" w:cs="Times New Roman"/>
                <w:sz w:val="24"/>
                <w:szCs w:val="24"/>
              </w:rPr>
            </w:pPr>
            <w:r w:rsidRPr="00007597">
              <w:rPr>
                <w:rFonts w:ascii="Times New Roman" w:hAnsi="Times New Roman" w:cs="Times New Roman"/>
                <w:sz w:val="24"/>
                <w:szCs w:val="24"/>
              </w:rPr>
              <w:t>3,296298</w:t>
            </w:r>
          </w:p>
        </w:tc>
        <w:tc>
          <w:tcPr>
            <w:tcW w:w="5477" w:type="dxa"/>
          </w:tcPr>
          <w:p w14:paraId="367F35D7" w14:textId="77777777" w:rsidR="001B1348" w:rsidRPr="001F03D6" w:rsidRDefault="003D66F7" w:rsidP="003D66F7">
            <w:pPr>
              <w:jc w:val="center"/>
              <w:rPr>
                <w:rFonts w:ascii="Times New Roman" w:hAnsi="Times New Roman" w:cs="Times New Roman"/>
                <w:b/>
                <w:sz w:val="24"/>
                <w:szCs w:val="24"/>
              </w:rPr>
            </w:pPr>
            <w:r w:rsidRPr="001F03D6">
              <w:rPr>
                <w:rFonts w:ascii="Times New Roman" w:hAnsi="Times New Roman" w:cs="Times New Roman"/>
                <w:b/>
                <w:sz w:val="24"/>
                <w:szCs w:val="24"/>
              </w:rPr>
              <w:t>Fon’un Yatırım Amacı ve Stratejisi</w:t>
            </w:r>
          </w:p>
        </w:tc>
      </w:tr>
      <w:tr w:rsidR="00E50129" w:rsidRPr="001F03D6" w14:paraId="41F7A0D8" w14:textId="77777777" w:rsidTr="007158BB">
        <w:trPr>
          <w:trHeight w:val="272"/>
        </w:trPr>
        <w:tc>
          <w:tcPr>
            <w:tcW w:w="1823" w:type="dxa"/>
          </w:tcPr>
          <w:p w14:paraId="6903EC00"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Yatırımcı Sayısı</w:t>
            </w:r>
          </w:p>
        </w:tc>
        <w:tc>
          <w:tcPr>
            <w:tcW w:w="1716" w:type="dxa"/>
          </w:tcPr>
          <w:p w14:paraId="5681A160" w14:textId="0FA8204F" w:rsidR="00E50129" w:rsidRPr="001F03D6" w:rsidRDefault="00007597" w:rsidP="003B245E">
            <w:pPr>
              <w:jc w:val="right"/>
              <w:rPr>
                <w:rFonts w:ascii="Times New Roman" w:hAnsi="Times New Roman" w:cs="Times New Roman"/>
                <w:sz w:val="24"/>
                <w:szCs w:val="24"/>
              </w:rPr>
            </w:pPr>
            <w:r>
              <w:rPr>
                <w:rFonts w:ascii="Times New Roman" w:hAnsi="Times New Roman" w:cs="Times New Roman"/>
                <w:sz w:val="24"/>
                <w:szCs w:val="24"/>
              </w:rPr>
              <w:t>14</w:t>
            </w:r>
          </w:p>
        </w:tc>
        <w:tc>
          <w:tcPr>
            <w:tcW w:w="5477" w:type="dxa"/>
            <w:vMerge w:val="restart"/>
          </w:tcPr>
          <w:p w14:paraId="4618D6DC" w14:textId="085DDDDE" w:rsidR="00E50129" w:rsidRPr="00943520" w:rsidRDefault="00943520" w:rsidP="00E50129">
            <w:pPr>
              <w:jc w:val="both"/>
              <w:rPr>
                <w:rFonts w:ascii="Times New Roman" w:hAnsi="Times New Roman" w:cs="Times New Roman"/>
                <w:sz w:val="24"/>
                <w:szCs w:val="24"/>
              </w:rPr>
            </w:pPr>
            <w:r w:rsidRPr="00943520">
              <w:rPr>
                <w:rFonts w:ascii="Times New Roman" w:hAnsi="Times New Roman" w:cs="Times New Roman"/>
              </w:rPr>
              <w:t xml:space="preserve">Fon toplam değerinin en az %80’i devamlı olarak yerli ihraççıların ortaklık paylarına ve bu paylardan oluşan endeksleri takip etmek üzere kurulan yerli borsa yatırım fonları katılma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Gazete’de yayımlanan Borsa Yatırım Fonlarına İlişkin Esaslar Tebliği (III-52.2)’nin 5 inci maddesinin dördüncü fıkrasının (a) bendi kapsamında takip etmek üzere kurulan borsa yatırım fonları katılma payları %80’lik oranın hesaplanmasına dahil edilir. </w:t>
            </w:r>
          </w:p>
        </w:tc>
      </w:tr>
      <w:tr w:rsidR="00E50129" w:rsidRPr="001F03D6" w14:paraId="1F67F208" w14:textId="77777777" w:rsidTr="007158BB">
        <w:trPr>
          <w:trHeight w:val="546"/>
        </w:trPr>
        <w:tc>
          <w:tcPr>
            <w:tcW w:w="1823" w:type="dxa"/>
          </w:tcPr>
          <w:p w14:paraId="53E26006"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Tedavül Oranı (%)</w:t>
            </w:r>
          </w:p>
        </w:tc>
        <w:tc>
          <w:tcPr>
            <w:tcW w:w="1716" w:type="dxa"/>
          </w:tcPr>
          <w:p w14:paraId="2E8AB30D" w14:textId="2815A9EB" w:rsidR="00E50129" w:rsidRPr="001F03D6" w:rsidRDefault="002F4EB5" w:rsidP="00236423">
            <w:pPr>
              <w:jc w:val="right"/>
              <w:rPr>
                <w:rFonts w:ascii="Times New Roman" w:hAnsi="Times New Roman" w:cs="Times New Roman"/>
                <w:sz w:val="24"/>
                <w:szCs w:val="24"/>
              </w:rPr>
            </w:pPr>
            <w:r>
              <w:rPr>
                <w:rFonts w:ascii="Times New Roman" w:hAnsi="Times New Roman" w:cs="Times New Roman"/>
                <w:sz w:val="24"/>
                <w:szCs w:val="24"/>
              </w:rPr>
              <w:t>0,11</w:t>
            </w:r>
          </w:p>
        </w:tc>
        <w:tc>
          <w:tcPr>
            <w:tcW w:w="5477" w:type="dxa"/>
            <w:vMerge/>
          </w:tcPr>
          <w:p w14:paraId="1A03D0A4" w14:textId="77777777" w:rsidR="00E50129" w:rsidRPr="001F03D6" w:rsidRDefault="00E50129" w:rsidP="00E50129">
            <w:pPr>
              <w:jc w:val="both"/>
              <w:rPr>
                <w:rFonts w:ascii="Times New Roman" w:hAnsi="Times New Roman" w:cs="Times New Roman"/>
                <w:sz w:val="24"/>
                <w:szCs w:val="24"/>
              </w:rPr>
            </w:pPr>
          </w:p>
        </w:tc>
      </w:tr>
      <w:tr w:rsidR="00E50129" w:rsidRPr="001F03D6" w14:paraId="1F1227F2" w14:textId="77777777" w:rsidTr="007158BB">
        <w:trPr>
          <w:trHeight w:val="272"/>
        </w:trPr>
        <w:tc>
          <w:tcPr>
            <w:tcW w:w="3539" w:type="dxa"/>
            <w:gridSpan w:val="2"/>
          </w:tcPr>
          <w:p w14:paraId="71BCD733" w14:textId="77777777" w:rsidR="00E50129" w:rsidRPr="00526E80" w:rsidRDefault="00E50129" w:rsidP="003D66F7">
            <w:pPr>
              <w:jc w:val="center"/>
              <w:rPr>
                <w:rFonts w:ascii="Times New Roman" w:hAnsi="Times New Roman" w:cs="Times New Roman"/>
                <w:b/>
                <w:sz w:val="24"/>
                <w:szCs w:val="24"/>
              </w:rPr>
            </w:pPr>
            <w:r w:rsidRPr="00526E80">
              <w:rPr>
                <w:rFonts w:ascii="Times New Roman" w:hAnsi="Times New Roman" w:cs="Times New Roman"/>
                <w:b/>
                <w:sz w:val="24"/>
                <w:szCs w:val="24"/>
              </w:rPr>
              <w:t>Portföy Dağılımı (%)</w:t>
            </w:r>
          </w:p>
        </w:tc>
        <w:tc>
          <w:tcPr>
            <w:tcW w:w="5477" w:type="dxa"/>
            <w:vMerge/>
          </w:tcPr>
          <w:p w14:paraId="7498A580" w14:textId="77777777" w:rsidR="00E50129" w:rsidRPr="001F03D6" w:rsidRDefault="00E50129" w:rsidP="00E50129">
            <w:pPr>
              <w:jc w:val="both"/>
              <w:rPr>
                <w:rFonts w:ascii="Times New Roman" w:hAnsi="Times New Roman" w:cs="Times New Roman"/>
                <w:sz w:val="24"/>
                <w:szCs w:val="24"/>
              </w:rPr>
            </w:pPr>
          </w:p>
        </w:tc>
      </w:tr>
      <w:tr w:rsidR="00F70D62" w:rsidRPr="001F03D6" w14:paraId="55CA7771" w14:textId="77777777" w:rsidTr="007158BB">
        <w:trPr>
          <w:trHeight w:val="261"/>
        </w:trPr>
        <w:tc>
          <w:tcPr>
            <w:tcW w:w="1823" w:type="dxa"/>
          </w:tcPr>
          <w:p w14:paraId="16933FEA" w14:textId="77777777" w:rsidR="00F70D62" w:rsidRPr="00526E80" w:rsidRDefault="00F70D62" w:rsidP="00A05B08">
            <w:pPr>
              <w:rPr>
                <w:rFonts w:ascii="Times New Roman" w:hAnsi="Times New Roman" w:cs="Times New Roman"/>
                <w:sz w:val="24"/>
                <w:szCs w:val="24"/>
              </w:rPr>
            </w:pPr>
            <w:r w:rsidRPr="00526E80">
              <w:rPr>
                <w:rFonts w:ascii="Times New Roman" w:hAnsi="Times New Roman" w:cs="Times New Roman"/>
                <w:sz w:val="24"/>
                <w:szCs w:val="24"/>
              </w:rPr>
              <w:t>Paylar</w:t>
            </w:r>
          </w:p>
        </w:tc>
        <w:tc>
          <w:tcPr>
            <w:tcW w:w="1716" w:type="dxa"/>
          </w:tcPr>
          <w:p w14:paraId="2A07B50C" w14:textId="77EAF820" w:rsidR="00F70D62" w:rsidRPr="00526E80" w:rsidRDefault="00EF5135" w:rsidP="006A0773">
            <w:pPr>
              <w:jc w:val="right"/>
              <w:rPr>
                <w:rFonts w:ascii="Times New Roman" w:hAnsi="Times New Roman" w:cs="Times New Roman"/>
                <w:sz w:val="24"/>
                <w:szCs w:val="24"/>
              </w:rPr>
            </w:pPr>
            <w:r>
              <w:rPr>
                <w:rFonts w:ascii="Times New Roman" w:hAnsi="Times New Roman" w:cs="Times New Roman"/>
                <w:sz w:val="24"/>
                <w:szCs w:val="24"/>
              </w:rPr>
              <w:t>144,75</w:t>
            </w:r>
          </w:p>
        </w:tc>
        <w:tc>
          <w:tcPr>
            <w:tcW w:w="5477" w:type="dxa"/>
            <w:vMerge/>
          </w:tcPr>
          <w:p w14:paraId="04B95A51" w14:textId="77777777" w:rsidR="00F70D62" w:rsidRPr="001F03D6" w:rsidRDefault="00F70D62" w:rsidP="00A05B08">
            <w:pPr>
              <w:rPr>
                <w:rFonts w:ascii="Times New Roman" w:hAnsi="Times New Roman" w:cs="Times New Roman"/>
                <w:sz w:val="24"/>
                <w:szCs w:val="24"/>
              </w:rPr>
            </w:pPr>
          </w:p>
        </w:tc>
      </w:tr>
      <w:tr w:rsidR="007158BB" w:rsidRPr="001F03D6" w14:paraId="3B0827D3" w14:textId="77777777" w:rsidTr="007158BB">
        <w:trPr>
          <w:trHeight w:val="546"/>
        </w:trPr>
        <w:tc>
          <w:tcPr>
            <w:tcW w:w="1823" w:type="dxa"/>
          </w:tcPr>
          <w:p w14:paraId="6EA2E650" w14:textId="605D0FD4" w:rsidR="007158BB" w:rsidRPr="00526E80" w:rsidRDefault="00EF5135" w:rsidP="00A05B08">
            <w:pPr>
              <w:rPr>
                <w:rFonts w:ascii="Times New Roman" w:hAnsi="Times New Roman" w:cs="Times New Roman"/>
                <w:sz w:val="24"/>
                <w:szCs w:val="24"/>
              </w:rPr>
            </w:pPr>
            <w:r>
              <w:rPr>
                <w:rFonts w:ascii="Times New Roman" w:hAnsi="Times New Roman" w:cs="Times New Roman"/>
                <w:sz w:val="24"/>
                <w:szCs w:val="24"/>
              </w:rPr>
              <w:t>Repo</w:t>
            </w:r>
          </w:p>
        </w:tc>
        <w:tc>
          <w:tcPr>
            <w:tcW w:w="1716" w:type="dxa"/>
          </w:tcPr>
          <w:p w14:paraId="7A6A7648" w14:textId="0630580B" w:rsidR="007158BB" w:rsidRPr="00526E80" w:rsidRDefault="00EF5135" w:rsidP="00681A26">
            <w:pPr>
              <w:jc w:val="right"/>
              <w:rPr>
                <w:rFonts w:ascii="Times New Roman" w:hAnsi="Times New Roman" w:cs="Times New Roman"/>
                <w:sz w:val="24"/>
                <w:szCs w:val="24"/>
              </w:rPr>
            </w:pPr>
            <w:r>
              <w:rPr>
                <w:rFonts w:ascii="Times New Roman" w:hAnsi="Times New Roman" w:cs="Times New Roman"/>
                <w:sz w:val="24"/>
                <w:szCs w:val="24"/>
              </w:rPr>
              <w:t>-78,43</w:t>
            </w:r>
          </w:p>
        </w:tc>
        <w:tc>
          <w:tcPr>
            <w:tcW w:w="5477" w:type="dxa"/>
            <w:vMerge/>
          </w:tcPr>
          <w:p w14:paraId="6148A5A9" w14:textId="77777777" w:rsidR="007158BB" w:rsidRPr="001F03D6" w:rsidRDefault="007158BB" w:rsidP="00A05B08">
            <w:pPr>
              <w:rPr>
                <w:rFonts w:ascii="Times New Roman" w:hAnsi="Times New Roman" w:cs="Times New Roman"/>
                <w:sz w:val="24"/>
                <w:szCs w:val="24"/>
              </w:rPr>
            </w:pPr>
          </w:p>
        </w:tc>
      </w:tr>
      <w:tr w:rsidR="00F70D62" w:rsidRPr="001F03D6" w14:paraId="1F33CD0F" w14:textId="77777777" w:rsidTr="007158BB">
        <w:trPr>
          <w:trHeight w:val="326"/>
        </w:trPr>
        <w:tc>
          <w:tcPr>
            <w:tcW w:w="1823" w:type="dxa"/>
            <w:tcBorders>
              <w:bottom w:val="single" w:sz="4" w:space="0" w:color="auto"/>
            </w:tcBorders>
          </w:tcPr>
          <w:p w14:paraId="555588A9" w14:textId="59C3797C" w:rsidR="00F70D62" w:rsidRPr="00526E80" w:rsidRDefault="00806F20" w:rsidP="00AF3A9D">
            <w:pPr>
              <w:rPr>
                <w:rFonts w:ascii="Times New Roman" w:hAnsi="Times New Roman" w:cs="Times New Roman"/>
                <w:sz w:val="24"/>
                <w:szCs w:val="24"/>
              </w:rPr>
            </w:pPr>
            <w:r w:rsidRPr="00526E80">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7216"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6A240" id="Düz Bağlayıcı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526E80">
              <w:rPr>
                <w:rFonts w:ascii="Times New Roman" w:hAnsi="Times New Roman" w:cs="Times New Roman"/>
                <w:sz w:val="24"/>
                <w:szCs w:val="24"/>
              </w:rPr>
              <w:t>Mevduat</w:t>
            </w:r>
          </w:p>
        </w:tc>
        <w:tc>
          <w:tcPr>
            <w:tcW w:w="1716" w:type="dxa"/>
            <w:tcBorders>
              <w:bottom w:val="single" w:sz="4" w:space="0" w:color="auto"/>
            </w:tcBorders>
          </w:tcPr>
          <w:p w14:paraId="4D68AB1D" w14:textId="5EB43628" w:rsidR="00F70D62" w:rsidRPr="00526E80" w:rsidRDefault="00EF5135" w:rsidP="00D7161B">
            <w:pPr>
              <w:jc w:val="right"/>
              <w:rPr>
                <w:rFonts w:ascii="Times New Roman" w:hAnsi="Times New Roman" w:cs="Times New Roman"/>
                <w:sz w:val="24"/>
                <w:szCs w:val="24"/>
              </w:rPr>
            </w:pPr>
            <w:r>
              <w:rPr>
                <w:rFonts w:ascii="Times New Roman" w:hAnsi="Times New Roman" w:cs="Times New Roman"/>
                <w:sz w:val="24"/>
                <w:szCs w:val="24"/>
              </w:rPr>
              <w:t>1,39</w:t>
            </w:r>
          </w:p>
        </w:tc>
        <w:tc>
          <w:tcPr>
            <w:tcW w:w="5477" w:type="dxa"/>
            <w:vMerge/>
          </w:tcPr>
          <w:p w14:paraId="43794AB5" w14:textId="77777777" w:rsidR="00F70D62" w:rsidRPr="001F03D6" w:rsidRDefault="00F70D62" w:rsidP="00AF3A9D">
            <w:pPr>
              <w:rPr>
                <w:rFonts w:ascii="Times New Roman" w:hAnsi="Times New Roman" w:cs="Times New Roman"/>
                <w:sz w:val="24"/>
                <w:szCs w:val="24"/>
              </w:rPr>
            </w:pPr>
          </w:p>
        </w:tc>
      </w:tr>
      <w:tr w:rsidR="00E50129" w:rsidRPr="001F03D6" w14:paraId="14327E3C" w14:textId="77777777" w:rsidTr="007158BB">
        <w:trPr>
          <w:trHeight w:val="865"/>
        </w:trPr>
        <w:tc>
          <w:tcPr>
            <w:tcW w:w="3539" w:type="dxa"/>
            <w:gridSpan w:val="2"/>
            <w:tcBorders>
              <w:top w:val="single" w:sz="4" w:space="0" w:color="auto"/>
              <w:left w:val="single" w:sz="4" w:space="0" w:color="auto"/>
              <w:bottom w:val="nil"/>
              <w:right w:val="single" w:sz="4" w:space="0" w:color="auto"/>
            </w:tcBorders>
          </w:tcPr>
          <w:p w14:paraId="5DE7514E" w14:textId="77777777" w:rsidR="00806F20" w:rsidRPr="00526E80" w:rsidRDefault="00806F20" w:rsidP="00681A26">
            <w:pPr>
              <w:rPr>
                <w:rFonts w:ascii="Times New Roman" w:hAnsi="Times New Roman" w:cs="Times New Roman"/>
                <w:sz w:val="24"/>
                <w:szCs w:val="24"/>
              </w:rPr>
            </w:pPr>
            <w:r w:rsidRPr="00526E80">
              <w:rPr>
                <w:rFonts w:ascii="Times New Roman" w:hAnsi="Times New Roman" w:cs="Times New Roman"/>
                <w:sz w:val="24"/>
                <w:szCs w:val="24"/>
              </w:rPr>
              <w:t>Viop Nakit</w:t>
            </w:r>
          </w:p>
          <w:p w14:paraId="54025513" w14:textId="1A8F1F37" w:rsidR="00806F20" w:rsidRPr="00526E80" w:rsidRDefault="00806F20" w:rsidP="00681A26">
            <w:pPr>
              <w:tabs>
                <w:tab w:val="right" w:pos="3323"/>
              </w:tabs>
              <w:jc w:val="right"/>
              <w:rPr>
                <w:rFonts w:ascii="Times New Roman" w:hAnsi="Times New Roman" w:cs="Times New Roman"/>
                <w:sz w:val="24"/>
                <w:szCs w:val="24"/>
              </w:rPr>
            </w:pPr>
            <w:r w:rsidRPr="00526E80">
              <w:rPr>
                <w:rFonts w:ascii="Times New Roman" w:hAnsi="Times New Roman" w:cs="Times New Roman"/>
                <w:sz w:val="24"/>
                <w:szCs w:val="24"/>
              </w:rPr>
              <w:t>Teminat</w:t>
            </w:r>
            <w:r w:rsidR="00681A26" w:rsidRPr="00526E80">
              <w:rPr>
                <w:rFonts w:ascii="Times New Roman" w:hAnsi="Times New Roman" w:cs="Times New Roman"/>
                <w:sz w:val="24"/>
                <w:szCs w:val="24"/>
              </w:rPr>
              <w:tab/>
            </w:r>
            <w:r w:rsidR="00EF5135">
              <w:rPr>
                <w:rFonts w:ascii="Times New Roman" w:hAnsi="Times New Roman" w:cs="Times New Roman"/>
                <w:sz w:val="24"/>
                <w:szCs w:val="24"/>
              </w:rPr>
              <w:t>32,29</w:t>
            </w:r>
          </w:p>
          <w:p w14:paraId="214E80FB" w14:textId="77777777" w:rsidR="00E50129" w:rsidRPr="00526E80"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1F03D6" w:rsidRDefault="00E50129" w:rsidP="00A05B08">
            <w:pPr>
              <w:rPr>
                <w:rFonts w:ascii="Times New Roman" w:hAnsi="Times New Roman" w:cs="Times New Roman"/>
                <w:sz w:val="24"/>
                <w:szCs w:val="24"/>
              </w:rPr>
            </w:pPr>
          </w:p>
        </w:tc>
      </w:tr>
      <w:tr w:rsidR="00806F20" w:rsidRPr="001F03D6" w14:paraId="674803AA" w14:textId="77777777" w:rsidTr="007158BB">
        <w:trPr>
          <w:trHeight w:val="272"/>
        </w:trPr>
        <w:tc>
          <w:tcPr>
            <w:tcW w:w="3539" w:type="dxa"/>
            <w:gridSpan w:val="2"/>
            <w:tcBorders>
              <w:top w:val="single" w:sz="4" w:space="0" w:color="auto"/>
              <w:left w:val="single" w:sz="4" w:space="0" w:color="auto"/>
              <w:bottom w:val="nil"/>
              <w:right w:val="single" w:sz="4" w:space="0" w:color="auto"/>
            </w:tcBorders>
          </w:tcPr>
          <w:p w14:paraId="2089CAA0" w14:textId="77777777" w:rsidR="00806F20" w:rsidRPr="001F03D6"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1F03D6" w:rsidRDefault="00806F20" w:rsidP="00A05B08">
            <w:pPr>
              <w:rPr>
                <w:rFonts w:ascii="Times New Roman" w:hAnsi="Times New Roman" w:cs="Times New Roman"/>
                <w:sz w:val="24"/>
                <w:szCs w:val="24"/>
              </w:rPr>
            </w:pPr>
          </w:p>
        </w:tc>
      </w:tr>
      <w:tr w:rsidR="00E50129" w:rsidRPr="001F03D6" w14:paraId="2C140DCB" w14:textId="77777777" w:rsidTr="007158BB">
        <w:trPr>
          <w:trHeight w:val="484"/>
        </w:trPr>
        <w:tc>
          <w:tcPr>
            <w:tcW w:w="1823" w:type="dxa"/>
            <w:tcBorders>
              <w:top w:val="nil"/>
              <w:left w:val="single" w:sz="4" w:space="0" w:color="auto"/>
              <w:bottom w:val="nil"/>
              <w:right w:val="nil"/>
            </w:tcBorders>
          </w:tcPr>
          <w:p w14:paraId="576813CE" w14:textId="08D562DB" w:rsidR="0023421B" w:rsidRPr="001F03D6" w:rsidRDefault="0023421B" w:rsidP="00806F20">
            <w:pPr>
              <w:rPr>
                <w:rFonts w:ascii="Times New Roman" w:hAnsi="Times New Roman" w:cs="Times New Roman"/>
                <w:color w:val="000000"/>
                <w:sz w:val="24"/>
                <w:szCs w:val="24"/>
                <w:u w:val="single"/>
              </w:rPr>
            </w:pPr>
          </w:p>
          <w:p w14:paraId="70218834" w14:textId="1FEED5C2" w:rsidR="00E50129" w:rsidRPr="001F03D6"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1F03D6"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1F03D6" w:rsidRDefault="00E50129" w:rsidP="00A05B08">
            <w:pPr>
              <w:rPr>
                <w:rFonts w:ascii="Times New Roman" w:hAnsi="Times New Roman" w:cs="Times New Roman"/>
                <w:sz w:val="24"/>
                <w:szCs w:val="24"/>
              </w:rPr>
            </w:pPr>
          </w:p>
        </w:tc>
      </w:tr>
      <w:tr w:rsidR="00D52CC0" w:rsidRPr="001F03D6" w14:paraId="01C9D9AB" w14:textId="77777777" w:rsidTr="007158BB">
        <w:trPr>
          <w:trHeight w:val="272"/>
        </w:trPr>
        <w:tc>
          <w:tcPr>
            <w:tcW w:w="9016" w:type="dxa"/>
            <w:gridSpan w:val="3"/>
          </w:tcPr>
          <w:p w14:paraId="1861FA3E" w14:textId="1CC6D1C6" w:rsidR="00D52CC0" w:rsidRPr="001F03D6" w:rsidRDefault="00D52CC0" w:rsidP="00D52CC0">
            <w:pPr>
              <w:jc w:val="center"/>
              <w:rPr>
                <w:rFonts w:ascii="Times New Roman" w:hAnsi="Times New Roman" w:cs="Times New Roman"/>
                <w:sz w:val="24"/>
                <w:szCs w:val="24"/>
              </w:rPr>
            </w:pPr>
            <w:r w:rsidRPr="001F03D6">
              <w:rPr>
                <w:rFonts w:ascii="Times New Roman" w:hAnsi="Times New Roman" w:cs="Times New Roman"/>
                <w:sz w:val="24"/>
                <w:szCs w:val="24"/>
              </w:rPr>
              <w:t xml:space="preserve">En Az Alınabilir Pay </w:t>
            </w:r>
            <w:r w:rsidR="00A17399" w:rsidRPr="001F03D6">
              <w:rPr>
                <w:rFonts w:ascii="Times New Roman" w:hAnsi="Times New Roman" w:cs="Times New Roman"/>
                <w:sz w:val="24"/>
                <w:szCs w:val="24"/>
              </w:rPr>
              <w:t>Adedi:</w:t>
            </w:r>
            <w:r w:rsidRPr="001F03D6">
              <w:rPr>
                <w:rFonts w:ascii="Times New Roman" w:hAnsi="Times New Roman" w:cs="Times New Roman"/>
                <w:sz w:val="24"/>
                <w:szCs w:val="24"/>
              </w:rPr>
              <w:t xml:space="preserve"> 1 Adet</w:t>
            </w:r>
          </w:p>
        </w:tc>
      </w:tr>
    </w:tbl>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Default="00973E09" w:rsidP="00973E0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PERFORMANS BİLGİSİ</w:t>
      </w:r>
    </w:p>
    <w:tbl>
      <w:tblPr>
        <w:tblW w:w="8673" w:type="dxa"/>
        <w:tblInd w:w="75" w:type="dxa"/>
        <w:tblCellMar>
          <w:left w:w="70" w:type="dxa"/>
          <w:right w:w="70" w:type="dxa"/>
        </w:tblCellMar>
        <w:tblLook w:val="04A0" w:firstRow="1" w:lastRow="0" w:firstColumn="1" w:lastColumn="0" w:noHBand="0" w:noVBand="1"/>
      </w:tblPr>
      <w:tblGrid>
        <w:gridCol w:w="840"/>
        <w:gridCol w:w="807"/>
        <w:gridCol w:w="1329"/>
        <w:gridCol w:w="996"/>
        <w:gridCol w:w="1147"/>
        <w:gridCol w:w="1329"/>
        <w:gridCol w:w="852"/>
        <w:gridCol w:w="1390"/>
      </w:tblGrid>
      <w:tr w:rsidR="0001236F" w:rsidRPr="0001236F" w14:paraId="7AA776AF" w14:textId="77777777" w:rsidTr="0001236F">
        <w:trPr>
          <w:trHeight w:val="724"/>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5DC0"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Yıllar</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65F86404"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Toplam Getiri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0521E26C"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Karşılaştırma Ölçütünün Getirisi / Eşik Değer (%)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FF7EB19"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Üfe Enflasyon Oranı (%)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503222E"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Portföyün Zaman İçinde Standart Sapması (%)</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14:paraId="4443218B"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Karşılaştırma Ölçütünün Standart Sapması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5E6A9B60"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Bilgi Rasyosu</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AD78F76"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Sunuma Dahil Dönem Sonu Portföyün Toplam Değeri</w:t>
            </w:r>
          </w:p>
        </w:tc>
      </w:tr>
      <w:tr w:rsidR="0001236F" w:rsidRPr="0001236F" w14:paraId="51695D20" w14:textId="77777777" w:rsidTr="0001236F">
        <w:trPr>
          <w:trHeight w:val="292"/>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05810918"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2022</w:t>
            </w:r>
          </w:p>
        </w:tc>
        <w:tc>
          <w:tcPr>
            <w:tcW w:w="765" w:type="dxa"/>
            <w:tcBorders>
              <w:top w:val="nil"/>
              <w:left w:val="nil"/>
              <w:bottom w:val="single" w:sz="4" w:space="0" w:color="auto"/>
              <w:right w:val="single" w:sz="4" w:space="0" w:color="auto"/>
            </w:tcBorders>
            <w:shd w:val="clear" w:color="auto" w:fill="auto"/>
            <w:noWrap/>
            <w:vAlign w:val="center"/>
            <w:hideMark/>
          </w:tcPr>
          <w:p w14:paraId="42469863"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43,37</w:t>
            </w:r>
          </w:p>
        </w:tc>
        <w:tc>
          <w:tcPr>
            <w:tcW w:w="1221" w:type="dxa"/>
            <w:tcBorders>
              <w:top w:val="nil"/>
              <w:left w:val="nil"/>
              <w:bottom w:val="single" w:sz="4" w:space="0" w:color="auto"/>
              <w:right w:val="single" w:sz="4" w:space="0" w:color="auto"/>
            </w:tcBorders>
            <w:shd w:val="clear" w:color="auto" w:fill="auto"/>
            <w:noWrap/>
            <w:vAlign w:val="center"/>
            <w:hideMark/>
          </w:tcPr>
          <w:p w14:paraId="2950F06C"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6,924</w:t>
            </w:r>
          </w:p>
        </w:tc>
        <w:tc>
          <w:tcPr>
            <w:tcW w:w="987" w:type="dxa"/>
            <w:tcBorders>
              <w:top w:val="nil"/>
              <w:left w:val="nil"/>
              <w:bottom w:val="single" w:sz="4" w:space="0" w:color="auto"/>
              <w:right w:val="single" w:sz="4" w:space="0" w:color="auto"/>
            </w:tcBorders>
            <w:shd w:val="clear" w:color="auto" w:fill="auto"/>
            <w:noWrap/>
            <w:vAlign w:val="center"/>
            <w:hideMark/>
          </w:tcPr>
          <w:p w14:paraId="21242CA3"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126,32</w:t>
            </w:r>
          </w:p>
        </w:tc>
        <w:tc>
          <w:tcPr>
            <w:tcW w:w="1147" w:type="dxa"/>
            <w:tcBorders>
              <w:top w:val="nil"/>
              <w:left w:val="nil"/>
              <w:bottom w:val="single" w:sz="4" w:space="0" w:color="auto"/>
              <w:right w:val="single" w:sz="4" w:space="0" w:color="auto"/>
            </w:tcBorders>
            <w:shd w:val="clear" w:color="auto" w:fill="auto"/>
            <w:noWrap/>
            <w:vAlign w:val="center"/>
            <w:hideMark/>
          </w:tcPr>
          <w:p w14:paraId="03D1350C"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1,55</w:t>
            </w:r>
          </w:p>
        </w:tc>
        <w:tc>
          <w:tcPr>
            <w:tcW w:w="1678" w:type="dxa"/>
            <w:tcBorders>
              <w:top w:val="nil"/>
              <w:left w:val="nil"/>
              <w:bottom w:val="single" w:sz="4" w:space="0" w:color="auto"/>
              <w:right w:val="single" w:sz="4" w:space="0" w:color="auto"/>
            </w:tcBorders>
            <w:shd w:val="clear" w:color="auto" w:fill="auto"/>
            <w:vAlign w:val="center"/>
            <w:hideMark/>
          </w:tcPr>
          <w:p w14:paraId="0BECB9F2"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0,039</w:t>
            </w:r>
          </w:p>
        </w:tc>
        <w:tc>
          <w:tcPr>
            <w:tcW w:w="777" w:type="dxa"/>
            <w:tcBorders>
              <w:top w:val="nil"/>
              <w:left w:val="nil"/>
              <w:bottom w:val="single" w:sz="4" w:space="0" w:color="auto"/>
              <w:right w:val="single" w:sz="4" w:space="0" w:color="auto"/>
            </w:tcBorders>
            <w:shd w:val="clear" w:color="auto" w:fill="auto"/>
            <w:noWrap/>
            <w:vAlign w:val="center"/>
            <w:hideMark/>
          </w:tcPr>
          <w:p w14:paraId="13A62F51"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0,28</w:t>
            </w:r>
          </w:p>
        </w:tc>
        <w:tc>
          <w:tcPr>
            <w:tcW w:w="1370" w:type="dxa"/>
            <w:tcBorders>
              <w:top w:val="nil"/>
              <w:left w:val="nil"/>
              <w:bottom w:val="single" w:sz="4" w:space="0" w:color="auto"/>
              <w:right w:val="single" w:sz="4" w:space="0" w:color="auto"/>
            </w:tcBorders>
            <w:shd w:val="clear" w:color="auto" w:fill="auto"/>
            <w:noWrap/>
            <w:vAlign w:val="center"/>
            <w:hideMark/>
          </w:tcPr>
          <w:p w14:paraId="6971E4F4"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286.383.584,24</w:t>
            </w:r>
          </w:p>
        </w:tc>
      </w:tr>
      <w:tr w:rsidR="0001236F" w:rsidRPr="0001236F" w14:paraId="244D8D2E" w14:textId="77777777" w:rsidTr="0001236F">
        <w:trPr>
          <w:trHeight w:val="292"/>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52267176"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2023</w:t>
            </w:r>
          </w:p>
        </w:tc>
        <w:tc>
          <w:tcPr>
            <w:tcW w:w="765" w:type="dxa"/>
            <w:tcBorders>
              <w:top w:val="nil"/>
              <w:left w:val="nil"/>
              <w:bottom w:val="single" w:sz="4" w:space="0" w:color="auto"/>
              <w:right w:val="single" w:sz="4" w:space="0" w:color="auto"/>
            </w:tcBorders>
            <w:shd w:val="clear" w:color="auto" w:fill="auto"/>
            <w:noWrap/>
            <w:vAlign w:val="center"/>
            <w:hideMark/>
          </w:tcPr>
          <w:p w14:paraId="27DB97BB"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95,36</w:t>
            </w:r>
          </w:p>
        </w:tc>
        <w:tc>
          <w:tcPr>
            <w:tcW w:w="1221" w:type="dxa"/>
            <w:tcBorders>
              <w:top w:val="nil"/>
              <w:left w:val="nil"/>
              <w:bottom w:val="single" w:sz="4" w:space="0" w:color="auto"/>
              <w:right w:val="single" w:sz="4" w:space="0" w:color="auto"/>
            </w:tcBorders>
            <w:shd w:val="clear" w:color="auto" w:fill="auto"/>
            <w:noWrap/>
            <w:vAlign w:val="center"/>
            <w:hideMark/>
          </w:tcPr>
          <w:p w14:paraId="2E58AEEF"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29,334</w:t>
            </w:r>
          </w:p>
        </w:tc>
        <w:tc>
          <w:tcPr>
            <w:tcW w:w="987" w:type="dxa"/>
            <w:tcBorders>
              <w:top w:val="nil"/>
              <w:left w:val="nil"/>
              <w:bottom w:val="single" w:sz="4" w:space="0" w:color="auto"/>
              <w:right w:val="single" w:sz="4" w:space="0" w:color="auto"/>
            </w:tcBorders>
            <w:shd w:val="clear" w:color="auto" w:fill="auto"/>
            <w:noWrap/>
            <w:vAlign w:val="center"/>
            <w:hideMark/>
          </w:tcPr>
          <w:p w14:paraId="1B3BE40A"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44,22</w:t>
            </w:r>
          </w:p>
        </w:tc>
        <w:tc>
          <w:tcPr>
            <w:tcW w:w="1147" w:type="dxa"/>
            <w:tcBorders>
              <w:top w:val="nil"/>
              <w:left w:val="nil"/>
              <w:bottom w:val="single" w:sz="4" w:space="0" w:color="auto"/>
              <w:right w:val="single" w:sz="4" w:space="0" w:color="auto"/>
            </w:tcBorders>
            <w:shd w:val="clear" w:color="auto" w:fill="auto"/>
            <w:noWrap/>
            <w:vAlign w:val="center"/>
            <w:hideMark/>
          </w:tcPr>
          <w:p w14:paraId="63A8059C" w14:textId="0ACE7F0B" w:rsidR="0001236F" w:rsidRPr="0001236F" w:rsidRDefault="00EC7B39" w:rsidP="0001236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0,08</w:t>
            </w:r>
          </w:p>
        </w:tc>
        <w:tc>
          <w:tcPr>
            <w:tcW w:w="1678" w:type="dxa"/>
            <w:tcBorders>
              <w:top w:val="nil"/>
              <w:left w:val="nil"/>
              <w:bottom w:val="single" w:sz="4" w:space="0" w:color="auto"/>
              <w:right w:val="single" w:sz="4" w:space="0" w:color="auto"/>
            </w:tcBorders>
            <w:shd w:val="clear" w:color="auto" w:fill="auto"/>
            <w:vAlign w:val="center"/>
            <w:hideMark/>
          </w:tcPr>
          <w:p w14:paraId="3FEC116E"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0,073</w:t>
            </w:r>
          </w:p>
        </w:tc>
        <w:tc>
          <w:tcPr>
            <w:tcW w:w="777" w:type="dxa"/>
            <w:tcBorders>
              <w:top w:val="nil"/>
              <w:left w:val="nil"/>
              <w:bottom w:val="single" w:sz="4" w:space="0" w:color="auto"/>
              <w:right w:val="single" w:sz="4" w:space="0" w:color="auto"/>
            </w:tcBorders>
            <w:shd w:val="clear" w:color="auto" w:fill="auto"/>
            <w:noWrap/>
            <w:vAlign w:val="center"/>
            <w:hideMark/>
          </w:tcPr>
          <w:p w14:paraId="5E65880B"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0,17</w:t>
            </w:r>
          </w:p>
        </w:tc>
        <w:tc>
          <w:tcPr>
            <w:tcW w:w="1370" w:type="dxa"/>
            <w:tcBorders>
              <w:top w:val="nil"/>
              <w:left w:val="nil"/>
              <w:bottom w:val="single" w:sz="4" w:space="0" w:color="auto"/>
              <w:right w:val="single" w:sz="4" w:space="0" w:color="auto"/>
            </w:tcBorders>
            <w:shd w:val="clear" w:color="auto" w:fill="auto"/>
            <w:noWrap/>
            <w:vAlign w:val="center"/>
            <w:hideMark/>
          </w:tcPr>
          <w:p w14:paraId="7820FB17"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108.217.283,78</w:t>
            </w:r>
          </w:p>
        </w:tc>
      </w:tr>
      <w:tr w:rsidR="0001236F" w:rsidRPr="0001236F" w14:paraId="722BC3FC" w14:textId="77777777" w:rsidTr="0001236F">
        <w:trPr>
          <w:trHeight w:val="292"/>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4E2DDFDF" w14:textId="6B7A9EE6"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2024</w:t>
            </w:r>
            <w:r>
              <w:rPr>
                <w:rFonts w:ascii="Times New Roman" w:eastAsia="Times New Roman" w:hAnsi="Times New Roman" w:cs="Times New Roman"/>
                <w:b/>
                <w:bCs/>
                <w:color w:val="000000"/>
                <w:sz w:val="20"/>
                <w:szCs w:val="20"/>
                <w:lang w:eastAsia="tr-TR"/>
              </w:rPr>
              <w:t>***</w:t>
            </w:r>
          </w:p>
        </w:tc>
        <w:tc>
          <w:tcPr>
            <w:tcW w:w="765" w:type="dxa"/>
            <w:tcBorders>
              <w:top w:val="nil"/>
              <w:left w:val="nil"/>
              <w:bottom w:val="single" w:sz="4" w:space="0" w:color="auto"/>
              <w:right w:val="single" w:sz="4" w:space="0" w:color="auto"/>
            </w:tcBorders>
            <w:shd w:val="clear" w:color="auto" w:fill="auto"/>
            <w:noWrap/>
            <w:vAlign w:val="center"/>
            <w:hideMark/>
          </w:tcPr>
          <w:p w14:paraId="50F256C3"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17,87</w:t>
            </w:r>
          </w:p>
        </w:tc>
        <w:tc>
          <w:tcPr>
            <w:tcW w:w="1221" w:type="dxa"/>
            <w:tcBorders>
              <w:top w:val="nil"/>
              <w:left w:val="nil"/>
              <w:bottom w:val="single" w:sz="4" w:space="0" w:color="auto"/>
              <w:right w:val="single" w:sz="4" w:space="0" w:color="auto"/>
            </w:tcBorders>
            <w:shd w:val="clear" w:color="auto" w:fill="auto"/>
            <w:noWrap/>
            <w:vAlign w:val="center"/>
            <w:hideMark/>
          </w:tcPr>
          <w:p w14:paraId="7BF74E21"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commentRangeStart w:id="0"/>
            <w:r w:rsidRPr="0001236F">
              <w:rPr>
                <w:rFonts w:ascii="Times New Roman" w:eastAsia="Times New Roman" w:hAnsi="Times New Roman" w:cs="Times New Roman"/>
                <w:b/>
                <w:bCs/>
                <w:color w:val="000000"/>
                <w:sz w:val="20"/>
                <w:szCs w:val="20"/>
                <w:lang w:eastAsia="tr-TR"/>
              </w:rPr>
              <w:t>28,259</w:t>
            </w:r>
            <w:commentRangeEnd w:id="0"/>
            <w:r w:rsidR="00DB0790">
              <w:rPr>
                <w:rStyle w:val="AklamaBavurusu"/>
              </w:rPr>
              <w:commentReference w:id="0"/>
            </w:r>
          </w:p>
        </w:tc>
        <w:tc>
          <w:tcPr>
            <w:tcW w:w="987" w:type="dxa"/>
            <w:tcBorders>
              <w:top w:val="nil"/>
              <w:left w:val="nil"/>
              <w:bottom w:val="single" w:sz="4" w:space="0" w:color="auto"/>
              <w:right w:val="single" w:sz="4" w:space="0" w:color="auto"/>
            </w:tcBorders>
            <w:shd w:val="clear" w:color="auto" w:fill="auto"/>
            <w:noWrap/>
            <w:vAlign w:val="center"/>
            <w:hideMark/>
          </w:tcPr>
          <w:p w14:paraId="597D3947"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19,49</w:t>
            </w:r>
          </w:p>
        </w:tc>
        <w:tc>
          <w:tcPr>
            <w:tcW w:w="1147" w:type="dxa"/>
            <w:tcBorders>
              <w:top w:val="nil"/>
              <w:left w:val="nil"/>
              <w:bottom w:val="single" w:sz="4" w:space="0" w:color="auto"/>
              <w:right w:val="single" w:sz="4" w:space="0" w:color="auto"/>
            </w:tcBorders>
            <w:shd w:val="clear" w:color="auto" w:fill="auto"/>
            <w:noWrap/>
            <w:vAlign w:val="center"/>
            <w:hideMark/>
          </w:tcPr>
          <w:p w14:paraId="340B4B36"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0,32</w:t>
            </w:r>
          </w:p>
        </w:tc>
        <w:tc>
          <w:tcPr>
            <w:tcW w:w="1678" w:type="dxa"/>
            <w:tcBorders>
              <w:top w:val="nil"/>
              <w:left w:val="nil"/>
              <w:bottom w:val="single" w:sz="4" w:space="0" w:color="auto"/>
              <w:right w:val="single" w:sz="4" w:space="0" w:color="auto"/>
            </w:tcBorders>
            <w:shd w:val="clear" w:color="auto" w:fill="auto"/>
            <w:vAlign w:val="center"/>
            <w:hideMark/>
          </w:tcPr>
          <w:p w14:paraId="3051181B"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0,144</w:t>
            </w:r>
          </w:p>
        </w:tc>
        <w:tc>
          <w:tcPr>
            <w:tcW w:w="777" w:type="dxa"/>
            <w:tcBorders>
              <w:top w:val="nil"/>
              <w:left w:val="nil"/>
              <w:bottom w:val="single" w:sz="4" w:space="0" w:color="auto"/>
              <w:right w:val="single" w:sz="4" w:space="0" w:color="auto"/>
            </w:tcBorders>
            <w:shd w:val="clear" w:color="auto" w:fill="auto"/>
            <w:noWrap/>
            <w:vAlign w:val="center"/>
            <w:hideMark/>
          </w:tcPr>
          <w:p w14:paraId="32169435"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-0,07</w:t>
            </w:r>
          </w:p>
        </w:tc>
        <w:tc>
          <w:tcPr>
            <w:tcW w:w="1370" w:type="dxa"/>
            <w:tcBorders>
              <w:top w:val="nil"/>
              <w:left w:val="nil"/>
              <w:bottom w:val="single" w:sz="4" w:space="0" w:color="auto"/>
              <w:right w:val="single" w:sz="4" w:space="0" w:color="auto"/>
            </w:tcBorders>
            <w:shd w:val="clear" w:color="auto" w:fill="auto"/>
            <w:noWrap/>
            <w:vAlign w:val="center"/>
            <w:hideMark/>
          </w:tcPr>
          <w:p w14:paraId="27408B46" w14:textId="77777777" w:rsidR="0001236F" w:rsidRPr="0001236F" w:rsidRDefault="0001236F" w:rsidP="0001236F">
            <w:pPr>
              <w:spacing w:after="0" w:line="240" w:lineRule="auto"/>
              <w:jc w:val="center"/>
              <w:rPr>
                <w:rFonts w:ascii="Times New Roman" w:eastAsia="Times New Roman" w:hAnsi="Times New Roman" w:cs="Times New Roman"/>
                <w:b/>
                <w:bCs/>
                <w:color w:val="000000"/>
                <w:sz w:val="20"/>
                <w:szCs w:val="20"/>
                <w:lang w:eastAsia="tr-TR"/>
              </w:rPr>
            </w:pPr>
            <w:r w:rsidRPr="0001236F">
              <w:rPr>
                <w:rFonts w:ascii="Times New Roman" w:eastAsia="Times New Roman" w:hAnsi="Times New Roman" w:cs="Times New Roman"/>
                <w:b/>
                <w:bCs/>
                <w:color w:val="000000"/>
                <w:sz w:val="20"/>
                <w:szCs w:val="20"/>
                <w:lang w:eastAsia="tr-TR"/>
              </w:rPr>
              <w:t>1.855.483,03</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5A6DA329" w:rsidR="00621CF3" w:rsidRPr="0037073E" w:rsidRDefault="00030329" w:rsidP="0037073E">
      <w:pPr>
        <w:textAlignment w:val="center"/>
        <w:rPr>
          <w:rFonts w:ascii="Times New Roman" w:eastAsia="Times New Roman" w:hAnsi="Times New Roman" w:cs="Times New Roman"/>
          <w:sz w:val="24"/>
          <w:szCs w:val="24"/>
          <w:lang w:eastAsia="tr-TR"/>
        </w:rPr>
      </w:pPr>
      <w:r>
        <w:rPr>
          <w:rFonts w:ascii="Times New Roman" w:hAnsi="Times New Roman" w:cs="Times New Roman"/>
          <w:sz w:val="24"/>
          <w:szCs w:val="24"/>
        </w:rPr>
        <w:t>(*)</w:t>
      </w:r>
      <w:r>
        <w:rPr>
          <w:rFonts w:ascii="Times New Roman" w:hAnsi="Times New Roman" w:cs="Times New Roman"/>
          <w:sz w:val="24"/>
          <w:szCs w:val="24"/>
        </w:rPr>
        <w:tab/>
      </w:r>
      <w:r w:rsidR="0037073E">
        <w:rPr>
          <w:rFonts w:ascii="Times New Roman" w:hAnsi="Times New Roman" w:cs="Times New Roman"/>
          <w:sz w:val="24"/>
          <w:szCs w:val="24"/>
        </w:rPr>
        <w:t>Karşılaştırma Ölçütü</w:t>
      </w:r>
      <w:r>
        <w:rPr>
          <w:rFonts w:ascii="Times New Roman" w:hAnsi="Times New Roman" w:cs="Times New Roman"/>
          <w:sz w:val="24"/>
          <w:szCs w:val="24"/>
        </w:rPr>
        <w:t xml:space="preserve">: </w:t>
      </w:r>
      <w:r w:rsidR="0037073E" w:rsidRPr="0037073E">
        <w:rPr>
          <w:rFonts w:ascii="Times New Roman" w:eastAsia="Times New Roman" w:hAnsi="Times New Roman" w:cs="Times New Roman"/>
          <w:sz w:val="24"/>
          <w:szCs w:val="24"/>
          <w:lang w:eastAsia="tr-TR"/>
        </w:rPr>
        <w:t>BIST-KYD 1 Aylık TL Mevduat Endeksi +100 baz puan</w:t>
      </w:r>
      <w:r>
        <w:rPr>
          <w:rFonts w:ascii="Times New Roman" w:hAnsi="Times New Roman" w:cs="Times New Roman"/>
          <w:sz w:val="24"/>
          <w:szCs w:val="24"/>
        </w:rPr>
        <w:t>’d</w:t>
      </w:r>
      <w:r w:rsidR="0037073E">
        <w:rPr>
          <w:rFonts w:ascii="Times New Roman" w:hAnsi="Times New Roman" w:cs="Times New Roman"/>
          <w:sz w:val="24"/>
          <w:szCs w:val="24"/>
        </w:rPr>
        <w:t>ı</w:t>
      </w:r>
      <w:r>
        <w:rPr>
          <w:rFonts w:ascii="Times New Roman" w:hAnsi="Times New Roman" w:cs="Times New Roman"/>
          <w:sz w:val="24"/>
          <w:szCs w:val="24"/>
        </w:rPr>
        <w:t>r.</w:t>
      </w:r>
    </w:p>
    <w:p w14:paraId="74CD0119" w14:textId="78F0C73C"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7E2D28">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69E1A96A" w14:textId="5B5B9F48" w:rsidR="00BC4211" w:rsidRDefault="005F5413" w:rsidP="006A1BA4">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w:t>
      </w:r>
      <w:r w:rsidR="00011985">
        <w:rPr>
          <w:rFonts w:ascii="Times New Roman" w:hAnsi="Times New Roman" w:cs="Times New Roman"/>
          <w:sz w:val="24"/>
          <w:szCs w:val="24"/>
        </w:rPr>
        <w:t>01.01.202</w:t>
      </w:r>
      <w:r w:rsidR="00EC5160">
        <w:rPr>
          <w:rFonts w:ascii="Times New Roman" w:hAnsi="Times New Roman" w:cs="Times New Roman"/>
          <w:sz w:val="24"/>
          <w:szCs w:val="24"/>
        </w:rPr>
        <w:t>4</w:t>
      </w:r>
      <w:r>
        <w:rPr>
          <w:rFonts w:ascii="Times New Roman" w:hAnsi="Times New Roman" w:cs="Times New Roman"/>
          <w:sz w:val="24"/>
          <w:szCs w:val="24"/>
        </w:rPr>
        <w:t xml:space="preserve"> ile </w:t>
      </w:r>
      <w:r w:rsidR="00FD3C59">
        <w:rPr>
          <w:rFonts w:ascii="Times New Roman" w:hAnsi="Times New Roman" w:cs="Times New Roman"/>
          <w:sz w:val="24"/>
          <w:szCs w:val="24"/>
        </w:rPr>
        <w:t>3</w:t>
      </w:r>
      <w:r w:rsidR="00237E2E">
        <w:rPr>
          <w:rFonts w:ascii="Times New Roman" w:hAnsi="Times New Roman" w:cs="Times New Roman"/>
          <w:sz w:val="24"/>
          <w:szCs w:val="24"/>
        </w:rPr>
        <w:t>0</w:t>
      </w:r>
      <w:r w:rsidR="00FD3C59">
        <w:rPr>
          <w:rFonts w:ascii="Times New Roman" w:hAnsi="Times New Roman" w:cs="Times New Roman"/>
          <w:sz w:val="24"/>
          <w:szCs w:val="24"/>
        </w:rPr>
        <w:t>.</w:t>
      </w:r>
      <w:r w:rsidR="00237E2E">
        <w:rPr>
          <w:rFonts w:ascii="Times New Roman" w:hAnsi="Times New Roman" w:cs="Times New Roman"/>
          <w:sz w:val="24"/>
          <w:szCs w:val="24"/>
        </w:rPr>
        <w:t>06</w:t>
      </w:r>
      <w:r w:rsidR="00FD3C59">
        <w:rPr>
          <w:rFonts w:ascii="Times New Roman" w:hAnsi="Times New Roman" w:cs="Times New Roman"/>
          <w:sz w:val="24"/>
          <w:szCs w:val="24"/>
        </w:rPr>
        <w:t>.</w:t>
      </w:r>
      <w:r w:rsidR="00011985">
        <w:rPr>
          <w:rFonts w:ascii="Times New Roman" w:hAnsi="Times New Roman" w:cs="Times New Roman"/>
          <w:sz w:val="24"/>
          <w:szCs w:val="24"/>
        </w:rPr>
        <w:t>202</w:t>
      </w:r>
      <w:r w:rsidR="00237E2E">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52A27056" w14:textId="3CBC81B0" w:rsidR="006A1BA4" w:rsidRDefault="006A1BA4" w:rsidP="006A1BA4">
      <w:pPr>
        <w:spacing w:after="0"/>
        <w:ind w:left="705" w:hanging="705"/>
        <w:jc w:val="both"/>
        <w:rPr>
          <w:rFonts w:ascii="Times New Roman" w:hAnsi="Times New Roman" w:cs="Times New Roman"/>
          <w:sz w:val="24"/>
          <w:szCs w:val="24"/>
        </w:rPr>
      </w:pPr>
    </w:p>
    <w:p w14:paraId="112D3129" w14:textId="49F42A51" w:rsidR="00BC4211" w:rsidRDefault="002E2517" w:rsidP="00396176">
      <w:pPr>
        <w:spacing w:after="0"/>
        <w:rPr>
          <w:rFonts w:ascii="Times New Roman" w:hAnsi="Times New Roman" w:cs="Times New Roman"/>
          <w:b/>
          <w:sz w:val="24"/>
          <w:szCs w:val="24"/>
          <w:u w:val="single"/>
          <w:shd w:val="clear" w:color="auto" w:fill="FFFFFF"/>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A779B1" w:rsidRDefault="006A1BA4" w:rsidP="005F5413">
      <w:pPr>
        <w:spacing w:after="0"/>
        <w:ind w:left="705" w:hanging="705"/>
        <w:rPr>
          <w:rFonts w:ascii="Times New Roman" w:hAnsi="Times New Roman" w:cs="Times New Roman"/>
          <w:b/>
          <w:sz w:val="24"/>
          <w:szCs w:val="24"/>
          <w:u w:val="single"/>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3E5558C1" w14:textId="4C5ECA84" w:rsidR="00DB6092" w:rsidRDefault="00ED1661" w:rsidP="00DB6092">
      <w:pPr>
        <w:pStyle w:val="ListeParagraf"/>
        <w:numPr>
          <w:ilvl w:val="0"/>
          <w:numId w:val="3"/>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Fon’un kurucusu ve yöneticisi Hedef Portföy Yönetimi A.Ş.(“Şirket”)’dir. Şirket 2012 yılında kurulmuş olup, yatırım fonları, yatırım ortaklıkları, özel ve tüzel kişilere </w:t>
      </w:r>
      <w:r>
        <w:rPr>
          <w:rFonts w:ascii="Times New Roman" w:eastAsia="Times New Roman" w:hAnsi="Times New Roman" w:cs="Times New Roman"/>
          <w:sz w:val="24"/>
          <w:szCs w:val="24"/>
        </w:rPr>
        <w:lastRenderedPageBreak/>
        <w:t>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10E3BCF4" w:rsidR="00FF1215" w:rsidRPr="00B76F6E" w:rsidRDefault="00FF1215" w:rsidP="00032E31">
      <w:pPr>
        <w:pStyle w:val="ListeParagraf"/>
        <w:numPr>
          <w:ilvl w:val="0"/>
          <w:numId w:val="3"/>
        </w:numPr>
        <w:spacing w:after="0"/>
        <w:jc w:val="both"/>
        <w:rPr>
          <w:rFonts w:ascii="Times New Roman" w:hAnsi="Times New Roman" w:cs="Times New Roman"/>
          <w:sz w:val="24"/>
          <w:szCs w:val="24"/>
        </w:rPr>
      </w:pPr>
      <w:r w:rsidRPr="00B76F6E">
        <w:rPr>
          <w:rFonts w:ascii="Times New Roman" w:hAnsi="Times New Roman" w:cs="Times New Roman"/>
          <w:sz w:val="24"/>
          <w:szCs w:val="24"/>
        </w:rPr>
        <w:t>Fon</w:t>
      </w:r>
      <w:r w:rsidR="00ED76F3" w:rsidRPr="00B76F6E">
        <w:rPr>
          <w:rFonts w:ascii="Times New Roman" w:hAnsi="Times New Roman" w:cs="Times New Roman"/>
          <w:sz w:val="24"/>
          <w:szCs w:val="24"/>
        </w:rPr>
        <w:t>,</w:t>
      </w:r>
      <w:r w:rsidRPr="00B76F6E">
        <w:rPr>
          <w:rFonts w:ascii="Times New Roman" w:hAnsi="Times New Roman" w:cs="Times New Roman"/>
          <w:sz w:val="24"/>
          <w:szCs w:val="24"/>
        </w:rPr>
        <w:t xml:space="preserve"> </w:t>
      </w:r>
      <w:r w:rsidR="00EE1C8B" w:rsidRPr="00B76F6E">
        <w:rPr>
          <w:rFonts w:ascii="Times New Roman" w:hAnsi="Times New Roman" w:cs="Times New Roman"/>
          <w:sz w:val="24"/>
          <w:szCs w:val="24"/>
        </w:rPr>
        <w:t>performans sunum</w:t>
      </w:r>
      <w:r w:rsidRPr="00B76F6E">
        <w:rPr>
          <w:rFonts w:ascii="Times New Roman" w:hAnsi="Times New Roman" w:cs="Times New Roman"/>
          <w:sz w:val="24"/>
          <w:szCs w:val="24"/>
        </w:rPr>
        <w:t xml:space="preserve"> döneminde </w:t>
      </w:r>
      <w:r w:rsidRPr="00866F67">
        <w:rPr>
          <w:rFonts w:ascii="Times New Roman" w:hAnsi="Times New Roman" w:cs="Times New Roman"/>
          <w:sz w:val="24"/>
          <w:szCs w:val="24"/>
        </w:rPr>
        <w:t xml:space="preserve">net </w:t>
      </w:r>
      <w:r w:rsidR="005A19EC" w:rsidRPr="00866F67">
        <w:rPr>
          <w:rFonts w:ascii="Times New Roman" w:hAnsi="Times New Roman" w:cs="Times New Roman"/>
          <w:sz w:val="24"/>
          <w:szCs w:val="24"/>
        </w:rPr>
        <w:t>%</w:t>
      </w:r>
      <w:r w:rsidR="00C3212A">
        <w:rPr>
          <w:rFonts w:ascii="Times New Roman" w:hAnsi="Times New Roman" w:cs="Times New Roman"/>
          <w:sz w:val="24"/>
          <w:szCs w:val="24"/>
        </w:rPr>
        <w:t xml:space="preserve"> </w:t>
      </w:r>
      <w:r w:rsidR="00C1436C">
        <w:rPr>
          <w:rFonts w:ascii="Times New Roman" w:hAnsi="Times New Roman" w:cs="Times New Roman"/>
          <w:sz w:val="24"/>
          <w:szCs w:val="24"/>
        </w:rPr>
        <w:t>17,87</w:t>
      </w:r>
      <w:r w:rsidR="003F1273">
        <w:rPr>
          <w:rFonts w:ascii="Times New Roman" w:hAnsi="Times New Roman" w:cs="Times New Roman"/>
          <w:sz w:val="24"/>
          <w:szCs w:val="24"/>
        </w:rPr>
        <w:t xml:space="preserve"> </w:t>
      </w:r>
      <w:r w:rsidR="00644A5B" w:rsidRPr="00866F67">
        <w:rPr>
          <w:rFonts w:ascii="Times New Roman" w:hAnsi="Times New Roman" w:cs="Times New Roman"/>
          <w:sz w:val="24"/>
          <w:szCs w:val="24"/>
        </w:rPr>
        <w:t xml:space="preserve"> </w:t>
      </w:r>
      <w:r w:rsidR="00237C1F" w:rsidRPr="00866F67">
        <w:rPr>
          <w:rFonts w:ascii="Times New Roman" w:hAnsi="Times New Roman" w:cs="Times New Roman"/>
          <w:sz w:val="24"/>
          <w:szCs w:val="24"/>
        </w:rPr>
        <w:t>k</w:t>
      </w:r>
      <w:r w:rsidR="00B76F6E" w:rsidRPr="00866F67">
        <w:rPr>
          <w:rFonts w:ascii="Times New Roman" w:hAnsi="Times New Roman" w:cs="Times New Roman"/>
          <w:sz w:val="24"/>
          <w:szCs w:val="24"/>
        </w:rPr>
        <w:t>â</w:t>
      </w:r>
      <w:r w:rsidR="00ED76F3" w:rsidRPr="00866F67">
        <w:rPr>
          <w:rFonts w:ascii="Times New Roman" w:hAnsi="Times New Roman" w:cs="Times New Roman"/>
          <w:sz w:val="24"/>
          <w:szCs w:val="24"/>
        </w:rPr>
        <w:t>r et</w:t>
      </w:r>
      <w:r w:rsidRPr="00866F67">
        <w:rPr>
          <w:rFonts w:ascii="Times New Roman" w:hAnsi="Times New Roman" w:cs="Times New Roman"/>
          <w:sz w:val="24"/>
          <w:szCs w:val="24"/>
        </w:rPr>
        <w:t>miştir</w:t>
      </w:r>
      <w:r w:rsidRPr="00B76F6E">
        <w:rPr>
          <w:rFonts w:ascii="Times New Roman" w:hAnsi="Times New Roman" w:cs="Times New Roman"/>
          <w:sz w:val="24"/>
          <w:szCs w:val="24"/>
        </w:rPr>
        <w:t>.</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03C24C5E" w14:textId="77777777" w:rsidR="002B14D7" w:rsidRPr="002B14D7" w:rsidRDefault="002B14D7" w:rsidP="002B14D7">
      <w:pPr>
        <w:pStyle w:val="ListeParagraf"/>
        <w:rPr>
          <w:rFonts w:ascii="Times New Roman" w:hAnsi="Times New Roman" w:cs="Times New Roman"/>
          <w:sz w:val="24"/>
          <w:szCs w:val="24"/>
        </w:rPr>
      </w:pPr>
    </w:p>
    <w:p w14:paraId="1A5681E7" w14:textId="77777777" w:rsidR="002B14D7" w:rsidRDefault="002B14D7" w:rsidP="002B14D7">
      <w:pPr>
        <w:pStyle w:val="ListeParagraf"/>
        <w:spacing w:after="0"/>
        <w:jc w:val="both"/>
        <w:rPr>
          <w:rFonts w:ascii="Times New Roman" w:hAnsi="Times New Roman" w:cs="Times New Roman"/>
          <w:sz w:val="24"/>
          <w:szCs w:val="24"/>
        </w:rPr>
      </w:pPr>
    </w:p>
    <w:tbl>
      <w:tblPr>
        <w:tblW w:w="8505" w:type="dxa"/>
        <w:tblInd w:w="216" w:type="dxa"/>
        <w:tblCellMar>
          <w:left w:w="70" w:type="dxa"/>
          <w:right w:w="70" w:type="dxa"/>
        </w:tblCellMar>
        <w:tblLook w:val="04A0" w:firstRow="1" w:lastRow="0" w:firstColumn="1" w:lastColumn="0" w:noHBand="0" w:noVBand="1"/>
      </w:tblPr>
      <w:tblGrid>
        <w:gridCol w:w="3376"/>
        <w:gridCol w:w="2233"/>
        <w:gridCol w:w="2896"/>
      </w:tblGrid>
      <w:tr w:rsidR="002E052D" w:rsidRPr="002E052D" w14:paraId="7F9BB083" w14:textId="77777777" w:rsidTr="002B14D7">
        <w:trPr>
          <w:trHeight w:val="572"/>
        </w:trPr>
        <w:tc>
          <w:tcPr>
            <w:tcW w:w="3376" w:type="dxa"/>
            <w:tcBorders>
              <w:top w:val="single" w:sz="8" w:space="0" w:color="auto"/>
              <w:left w:val="single" w:sz="8" w:space="0" w:color="auto"/>
              <w:bottom w:val="nil"/>
              <w:right w:val="single" w:sz="4" w:space="0" w:color="auto"/>
            </w:tcBorders>
            <w:shd w:val="clear" w:color="auto" w:fill="auto"/>
            <w:vAlign w:val="bottom"/>
            <w:hideMark/>
          </w:tcPr>
          <w:p w14:paraId="25DA8B64" w14:textId="77777777" w:rsidR="002E052D" w:rsidRPr="002E052D" w:rsidRDefault="002E052D" w:rsidP="002E052D">
            <w:pPr>
              <w:spacing w:after="0" w:line="240" w:lineRule="auto"/>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Dönem Faaliyet Giderleri Dağılımı</w:t>
            </w:r>
          </w:p>
        </w:tc>
        <w:tc>
          <w:tcPr>
            <w:tcW w:w="2233" w:type="dxa"/>
            <w:tcBorders>
              <w:top w:val="single" w:sz="8" w:space="0" w:color="auto"/>
              <w:left w:val="nil"/>
              <w:bottom w:val="nil"/>
              <w:right w:val="single" w:sz="4" w:space="0" w:color="auto"/>
            </w:tcBorders>
            <w:shd w:val="clear" w:color="auto" w:fill="auto"/>
            <w:vAlign w:val="center"/>
            <w:hideMark/>
          </w:tcPr>
          <w:p w14:paraId="4C22420F" w14:textId="77777777" w:rsidR="002E052D" w:rsidRPr="002E052D" w:rsidRDefault="002E052D" w:rsidP="002E052D">
            <w:pPr>
              <w:spacing w:after="0" w:line="240" w:lineRule="auto"/>
              <w:jc w:val="center"/>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Portföy Değerine Oranı (%)</w:t>
            </w:r>
          </w:p>
        </w:tc>
        <w:tc>
          <w:tcPr>
            <w:tcW w:w="2895" w:type="dxa"/>
            <w:tcBorders>
              <w:top w:val="single" w:sz="8" w:space="0" w:color="auto"/>
              <w:left w:val="nil"/>
              <w:bottom w:val="nil"/>
              <w:right w:val="single" w:sz="8" w:space="0" w:color="auto"/>
            </w:tcBorders>
            <w:shd w:val="clear" w:color="auto" w:fill="auto"/>
            <w:vAlign w:val="center"/>
            <w:hideMark/>
          </w:tcPr>
          <w:p w14:paraId="594D2545" w14:textId="77777777" w:rsidR="002E052D" w:rsidRPr="002E052D" w:rsidRDefault="002E052D" w:rsidP="002E052D">
            <w:pPr>
              <w:spacing w:after="0" w:line="240" w:lineRule="auto"/>
              <w:jc w:val="center"/>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Tutar (TL)</w:t>
            </w:r>
          </w:p>
        </w:tc>
      </w:tr>
      <w:tr w:rsidR="002E052D" w:rsidRPr="002E052D" w14:paraId="58524BF3" w14:textId="77777777" w:rsidTr="002B14D7">
        <w:trPr>
          <w:trHeight w:val="279"/>
        </w:trPr>
        <w:tc>
          <w:tcPr>
            <w:tcW w:w="33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CF99BD"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Yönetim Ücreti</w:t>
            </w:r>
          </w:p>
        </w:tc>
        <w:tc>
          <w:tcPr>
            <w:tcW w:w="2233" w:type="dxa"/>
            <w:tcBorders>
              <w:top w:val="single" w:sz="8" w:space="0" w:color="auto"/>
              <w:left w:val="nil"/>
              <w:bottom w:val="single" w:sz="4" w:space="0" w:color="auto"/>
              <w:right w:val="single" w:sz="4" w:space="0" w:color="auto"/>
            </w:tcBorders>
            <w:shd w:val="clear" w:color="auto" w:fill="auto"/>
            <w:noWrap/>
            <w:vAlign w:val="center"/>
            <w:hideMark/>
          </w:tcPr>
          <w:p w14:paraId="41499CC9"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0.98</w:t>
            </w:r>
          </w:p>
        </w:tc>
        <w:tc>
          <w:tcPr>
            <w:tcW w:w="2895" w:type="dxa"/>
            <w:tcBorders>
              <w:top w:val="single" w:sz="8" w:space="0" w:color="auto"/>
              <w:left w:val="nil"/>
              <w:bottom w:val="single" w:sz="4" w:space="0" w:color="auto"/>
              <w:right w:val="single" w:sz="8" w:space="0" w:color="auto"/>
            </w:tcBorders>
            <w:shd w:val="clear" w:color="auto" w:fill="auto"/>
            <w:noWrap/>
            <w:vAlign w:val="bottom"/>
            <w:hideMark/>
          </w:tcPr>
          <w:p w14:paraId="40109C8B"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178,808.22</w:t>
            </w:r>
          </w:p>
        </w:tc>
      </w:tr>
      <w:tr w:rsidR="002E052D" w:rsidRPr="002E052D" w14:paraId="6B07220F" w14:textId="77777777" w:rsidTr="002B14D7">
        <w:trPr>
          <w:trHeight w:val="279"/>
        </w:trPr>
        <w:tc>
          <w:tcPr>
            <w:tcW w:w="3376" w:type="dxa"/>
            <w:tcBorders>
              <w:top w:val="nil"/>
              <w:left w:val="single" w:sz="8" w:space="0" w:color="auto"/>
              <w:bottom w:val="single" w:sz="4" w:space="0" w:color="auto"/>
              <w:right w:val="single" w:sz="4" w:space="0" w:color="auto"/>
            </w:tcBorders>
            <w:shd w:val="clear" w:color="auto" w:fill="auto"/>
            <w:noWrap/>
            <w:vAlign w:val="bottom"/>
            <w:hideMark/>
          </w:tcPr>
          <w:p w14:paraId="68387FBE"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Komisyon ve Diğer İşlem Ücretleri</w:t>
            </w:r>
          </w:p>
        </w:tc>
        <w:tc>
          <w:tcPr>
            <w:tcW w:w="2233" w:type="dxa"/>
            <w:tcBorders>
              <w:top w:val="nil"/>
              <w:left w:val="nil"/>
              <w:bottom w:val="single" w:sz="4" w:space="0" w:color="auto"/>
              <w:right w:val="single" w:sz="4" w:space="0" w:color="auto"/>
            </w:tcBorders>
            <w:shd w:val="clear" w:color="auto" w:fill="auto"/>
            <w:noWrap/>
            <w:vAlign w:val="center"/>
            <w:hideMark/>
          </w:tcPr>
          <w:p w14:paraId="5A898D63"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1.86</w:t>
            </w:r>
          </w:p>
        </w:tc>
        <w:tc>
          <w:tcPr>
            <w:tcW w:w="2895" w:type="dxa"/>
            <w:tcBorders>
              <w:top w:val="nil"/>
              <w:left w:val="nil"/>
              <w:bottom w:val="single" w:sz="4" w:space="0" w:color="auto"/>
              <w:right w:val="single" w:sz="8" w:space="0" w:color="auto"/>
            </w:tcBorders>
            <w:shd w:val="clear" w:color="auto" w:fill="auto"/>
            <w:noWrap/>
            <w:vAlign w:val="bottom"/>
            <w:hideMark/>
          </w:tcPr>
          <w:p w14:paraId="6A020859"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338,324.88</w:t>
            </w:r>
          </w:p>
        </w:tc>
      </w:tr>
      <w:tr w:rsidR="002E052D" w:rsidRPr="002E052D" w14:paraId="5ED49F1B" w14:textId="77777777" w:rsidTr="002B14D7">
        <w:trPr>
          <w:trHeight w:val="279"/>
        </w:trPr>
        <w:tc>
          <w:tcPr>
            <w:tcW w:w="3376" w:type="dxa"/>
            <w:tcBorders>
              <w:top w:val="nil"/>
              <w:left w:val="single" w:sz="8" w:space="0" w:color="auto"/>
              <w:bottom w:val="single" w:sz="4" w:space="0" w:color="auto"/>
              <w:right w:val="single" w:sz="4" w:space="0" w:color="auto"/>
            </w:tcBorders>
            <w:shd w:val="clear" w:color="auto" w:fill="auto"/>
            <w:noWrap/>
            <w:vAlign w:val="bottom"/>
            <w:hideMark/>
          </w:tcPr>
          <w:p w14:paraId="0BB29097"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Saklama Ücreti</w:t>
            </w:r>
          </w:p>
        </w:tc>
        <w:tc>
          <w:tcPr>
            <w:tcW w:w="2233" w:type="dxa"/>
            <w:tcBorders>
              <w:top w:val="nil"/>
              <w:left w:val="nil"/>
              <w:bottom w:val="single" w:sz="4" w:space="0" w:color="auto"/>
              <w:right w:val="single" w:sz="4" w:space="0" w:color="auto"/>
            </w:tcBorders>
            <w:shd w:val="clear" w:color="auto" w:fill="auto"/>
            <w:noWrap/>
            <w:vAlign w:val="center"/>
            <w:hideMark/>
          </w:tcPr>
          <w:p w14:paraId="5C619D23"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0.50</w:t>
            </w:r>
          </w:p>
        </w:tc>
        <w:tc>
          <w:tcPr>
            <w:tcW w:w="2895" w:type="dxa"/>
            <w:tcBorders>
              <w:top w:val="nil"/>
              <w:left w:val="nil"/>
              <w:bottom w:val="single" w:sz="4" w:space="0" w:color="auto"/>
              <w:right w:val="single" w:sz="8" w:space="0" w:color="auto"/>
            </w:tcBorders>
            <w:shd w:val="clear" w:color="auto" w:fill="auto"/>
            <w:noWrap/>
            <w:vAlign w:val="bottom"/>
            <w:hideMark/>
          </w:tcPr>
          <w:p w14:paraId="27D62EF8"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91,838.54</w:t>
            </w:r>
          </w:p>
        </w:tc>
      </w:tr>
      <w:tr w:rsidR="002E052D" w:rsidRPr="002E052D" w14:paraId="7B4215B7" w14:textId="77777777" w:rsidTr="002B14D7">
        <w:trPr>
          <w:trHeight w:val="279"/>
        </w:trPr>
        <w:tc>
          <w:tcPr>
            <w:tcW w:w="3376" w:type="dxa"/>
            <w:tcBorders>
              <w:top w:val="nil"/>
              <w:left w:val="single" w:sz="8" w:space="0" w:color="auto"/>
              <w:bottom w:val="single" w:sz="4" w:space="0" w:color="auto"/>
              <w:right w:val="single" w:sz="4" w:space="0" w:color="auto"/>
            </w:tcBorders>
            <w:shd w:val="clear" w:color="auto" w:fill="auto"/>
            <w:noWrap/>
            <w:vAlign w:val="bottom"/>
            <w:hideMark/>
          </w:tcPr>
          <w:p w14:paraId="1DE8C5CC"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Kurul Ücretleri</w:t>
            </w:r>
          </w:p>
        </w:tc>
        <w:tc>
          <w:tcPr>
            <w:tcW w:w="2233" w:type="dxa"/>
            <w:tcBorders>
              <w:top w:val="nil"/>
              <w:left w:val="nil"/>
              <w:bottom w:val="single" w:sz="4" w:space="0" w:color="auto"/>
              <w:right w:val="single" w:sz="4" w:space="0" w:color="auto"/>
            </w:tcBorders>
            <w:shd w:val="clear" w:color="auto" w:fill="auto"/>
            <w:noWrap/>
            <w:vAlign w:val="center"/>
            <w:hideMark/>
          </w:tcPr>
          <w:p w14:paraId="05F8E7AC"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0.00</w:t>
            </w:r>
          </w:p>
        </w:tc>
        <w:tc>
          <w:tcPr>
            <w:tcW w:w="2895" w:type="dxa"/>
            <w:tcBorders>
              <w:top w:val="nil"/>
              <w:left w:val="nil"/>
              <w:bottom w:val="single" w:sz="4" w:space="0" w:color="auto"/>
              <w:right w:val="single" w:sz="8" w:space="0" w:color="auto"/>
            </w:tcBorders>
            <w:shd w:val="clear" w:color="auto" w:fill="auto"/>
            <w:noWrap/>
            <w:vAlign w:val="bottom"/>
            <w:hideMark/>
          </w:tcPr>
          <w:p w14:paraId="38DC6CAE"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177.84</w:t>
            </w:r>
          </w:p>
        </w:tc>
      </w:tr>
      <w:tr w:rsidR="002E052D" w:rsidRPr="002E052D" w14:paraId="11E3001D" w14:textId="77777777" w:rsidTr="002B14D7">
        <w:trPr>
          <w:trHeight w:val="279"/>
        </w:trPr>
        <w:tc>
          <w:tcPr>
            <w:tcW w:w="3376" w:type="dxa"/>
            <w:tcBorders>
              <w:top w:val="nil"/>
              <w:left w:val="single" w:sz="8" w:space="0" w:color="auto"/>
              <w:bottom w:val="single" w:sz="4" w:space="0" w:color="auto"/>
              <w:right w:val="single" w:sz="4" w:space="0" w:color="auto"/>
            </w:tcBorders>
            <w:shd w:val="clear" w:color="auto" w:fill="auto"/>
            <w:noWrap/>
            <w:vAlign w:val="bottom"/>
            <w:hideMark/>
          </w:tcPr>
          <w:p w14:paraId="31480AC3"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Bağımsız Denetim Ücreti</w:t>
            </w:r>
          </w:p>
        </w:tc>
        <w:tc>
          <w:tcPr>
            <w:tcW w:w="2233" w:type="dxa"/>
            <w:tcBorders>
              <w:top w:val="nil"/>
              <w:left w:val="nil"/>
              <w:bottom w:val="single" w:sz="4" w:space="0" w:color="auto"/>
              <w:right w:val="single" w:sz="4" w:space="0" w:color="auto"/>
            </w:tcBorders>
            <w:shd w:val="clear" w:color="auto" w:fill="auto"/>
            <w:noWrap/>
            <w:vAlign w:val="center"/>
            <w:hideMark/>
          </w:tcPr>
          <w:p w14:paraId="33D1A94A"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0.06</w:t>
            </w:r>
          </w:p>
        </w:tc>
        <w:tc>
          <w:tcPr>
            <w:tcW w:w="2895" w:type="dxa"/>
            <w:tcBorders>
              <w:top w:val="nil"/>
              <w:left w:val="nil"/>
              <w:bottom w:val="single" w:sz="4" w:space="0" w:color="auto"/>
              <w:right w:val="single" w:sz="8" w:space="0" w:color="auto"/>
            </w:tcBorders>
            <w:shd w:val="clear" w:color="auto" w:fill="auto"/>
            <w:noWrap/>
            <w:vAlign w:val="bottom"/>
            <w:hideMark/>
          </w:tcPr>
          <w:p w14:paraId="0D585C8B"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11,260.01</w:t>
            </w:r>
          </w:p>
        </w:tc>
      </w:tr>
      <w:tr w:rsidR="002E052D" w:rsidRPr="002E052D" w14:paraId="102EF5C3" w14:textId="77777777" w:rsidTr="002B14D7">
        <w:trPr>
          <w:trHeight w:val="279"/>
        </w:trPr>
        <w:tc>
          <w:tcPr>
            <w:tcW w:w="3376" w:type="dxa"/>
            <w:tcBorders>
              <w:top w:val="nil"/>
              <w:left w:val="single" w:sz="8" w:space="0" w:color="auto"/>
              <w:bottom w:val="single" w:sz="4" w:space="0" w:color="auto"/>
              <w:right w:val="single" w:sz="4" w:space="0" w:color="auto"/>
            </w:tcBorders>
            <w:shd w:val="clear" w:color="auto" w:fill="auto"/>
            <w:noWrap/>
            <w:vAlign w:val="bottom"/>
            <w:hideMark/>
          </w:tcPr>
          <w:p w14:paraId="4C88142D"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Diğer Giderler</w:t>
            </w:r>
          </w:p>
        </w:tc>
        <w:tc>
          <w:tcPr>
            <w:tcW w:w="2233" w:type="dxa"/>
            <w:tcBorders>
              <w:top w:val="nil"/>
              <w:left w:val="nil"/>
              <w:bottom w:val="single" w:sz="4" w:space="0" w:color="auto"/>
              <w:right w:val="single" w:sz="4" w:space="0" w:color="auto"/>
            </w:tcBorders>
            <w:shd w:val="clear" w:color="auto" w:fill="auto"/>
            <w:noWrap/>
            <w:vAlign w:val="center"/>
            <w:hideMark/>
          </w:tcPr>
          <w:p w14:paraId="1B7AF2AB"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1.59</w:t>
            </w:r>
          </w:p>
        </w:tc>
        <w:tc>
          <w:tcPr>
            <w:tcW w:w="2895" w:type="dxa"/>
            <w:tcBorders>
              <w:top w:val="nil"/>
              <w:left w:val="nil"/>
              <w:bottom w:val="single" w:sz="4" w:space="0" w:color="auto"/>
              <w:right w:val="single" w:sz="8" w:space="0" w:color="auto"/>
            </w:tcBorders>
            <w:shd w:val="clear" w:color="auto" w:fill="auto"/>
            <w:noWrap/>
            <w:vAlign w:val="bottom"/>
            <w:hideMark/>
          </w:tcPr>
          <w:p w14:paraId="56BC484F"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289,906.61</w:t>
            </w:r>
          </w:p>
        </w:tc>
      </w:tr>
      <w:tr w:rsidR="002E052D" w:rsidRPr="002E052D" w14:paraId="0EFD9725" w14:textId="77777777" w:rsidTr="002B14D7">
        <w:trPr>
          <w:trHeight w:val="292"/>
        </w:trPr>
        <w:tc>
          <w:tcPr>
            <w:tcW w:w="3376" w:type="dxa"/>
            <w:tcBorders>
              <w:top w:val="nil"/>
              <w:left w:val="single" w:sz="8" w:space="0" w:color="auto"/>
              <w:bottom w:val="single" w:sz="8" w:space="0" w:color="auto"/>
              <w:right w:val="single" w:sz="4" w:space="0" w:color="auto"/>
            </w:tcBorders>
            <w:shd w:val="clear" w:color="auto" w:fill="auto"/>
            <w:noWrap/>
            <w:vAlign w:val="bottom"/>
            <w:hideMark/>
          </w:tcPr>
          <w:p w14:paraId="7497055D" w14:textId="77777777" w:rsidR="002E052D" w:rsidRPr="002E052D" w:rsidRDefault="002E052D" w:rsidP="002E052D">
            <w:pPr>
              <w:spacing w:after="0" w:line="240" w:lineRule="auto"/>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Toplam</w:t>
            </w:r>
          </w:p>
        </w:tc>
        <w:tc>
          <w:tcPr>
            <w:tcW w:w="2233" w:type="dxa"/>
            <w:tcBorders>
              <w:top w:val="nil"/>
              <w:left w:val="nil"/>
              <w:bottom w:val="single" w:sz="8" w:space="0" w:color="auto"/>
              <w:right w:val="single" w:sz="4" w:space="0" w:color="auto"/>
            </w:tcBorders>
            <w:shd w:val="clear" w:color="auto" w:fill="auto"/>
            <w:noWrap/>
            <w:vAlign w:val="center"/>
            <w:hideMark/>
          </w:tcPr>
          <w:p w14:paraId="60B5C495" w14:textId="77777777" w:rsidR="002E052D" w:rsidRPr="002E052D" w:rsidRDefault="002E052D" w:rsidP="002E052D">
            <w:pPr>
              <w:spacing w:after="0" w:line="240" w:lineRule="auto"/>
              <w:jc w:val="center"/>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5.00</w:t>
            </w:r>
          </w:p>
        </w:tc>
        <w:tc>
          <w:tcPr>
            <w:tcW w:w="2895" w:type="dxa"/>
            <w:tcBorders>
              <w:top w:val="nil"/>
              <w:left w:val="nil"/>
              <w:bottom w:val="single" w:sz="8" w:space="0" w:color="auto"/>
              <w:right w:val="single" w:sz="8" w:space="0" w:color="auto"/>
            </w:tcBorders>
            <w:shd w:val="clear" w:color="auto" w:fill="auto"/>
            <w:noWrap/>
            <w:vAlign w:val="bottom"/>
            <w:hideMark/>
          </w:tcPr>
          <w:p w14:paraId="38437573" w14:textId="77777777" w:rsidR="002E052D" w:rsidRPr="002E052D" w:rsidRDefault="002E052D" w:rsidP="002E052D">
            <w:pPr>
              <w:spacing w:after="0" w:line="240" w:lineRule="auto"/>
              <w:jc w:val="center"/>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910,316.10</w:t>
            </w:r>
          </w:p>
        </w:tc>
      </w:tr>
      <w:tr w:rsidR="002E052D" w:rsidRPr="002E052D" w14:paraId="061BBB47" w14:textId="77777777" w:rsidTr="002B14D7">
        <w:trPr>
          <w:trHeight w:val="279"/>
        </w:trPr>
        <w:tc>
          <w:tcPr>
            <w:tcW w:w="3376" w:type="dxa"/>
            <w:tcBorders>
              <w:top w:val="nil"/>
              <w:left w:val="nil"/>
              <w:bottom w:val="nil"/>
              <w:right w:val="nil"/>
            </w:tcBorders>
            <w:shd w:val="clear" w:color="auto" w:fill="auto"/>
            <w:noWrap/>
            <w:vAlign w:val="bottom"/>
            <w:hideMark/>
          </w:tcPr>
          <w:p w14:paraId="319C1C2B" w14:textId="77777777" w:rsidR="002E052D" w:rsidRPr="002E052D" w:rsidRDefault="002E052D" w:rsidP="002E052D">
            <w:pPr>
              <w:spacing w:after="0" w:line="240" w:lineRule="auto"/>
              <w:jc w:val="center"/>
              <w:rPr>
                <w:rFonts w:ascii="Times New Roman" w:eastAsia="Times New Roman" w:hAnsi="Times New Roman" w:cs="Times New Roman"/>
                <w:b/>
                <w:bCs/>
                <w:color w:val="000000"/>
                <w:sz w:val="24"/>
                <w:szCs w:val="24"/>
                <w:lang w:eastAsia="tr-TR"/>
              </w:rPr>
            </w:pPr>
          </w:p>
        </w:tc>
        <w:tc>
          <w:tcPr>
            <w:tcW w:w="2233" w:type="dxa"/>
            <w:tcBorders>
              <w:top w:val="nil"/>
              <w:left w:val="nil"/>
              <w:bottom w:val="nil"/>
              <w:right w:val="nil"/>
            </w:tcBorders>
            <w:shd w:val="clear" w:color="auto" w:fill="auto"/>
            <w:noWrap/>
            <w:vAlign w:val="bottom"/>
            <w:hideMark/>
          </w:tcPr>
          <w:p w14:paraId="4CF15A2A" w14:textId="77777777" w:rsidR="002E052D" w:rsidRPr="002E052D" w:rsidRDefault="002E052D" w:rsidP="002E052D">
            <w:pPr>
              <w:spacing w:after="0" w:line="240" w:lineRule="auto"/>
              <w:rPr>
                <w:rFonts w:ascii="Times New Roman" w:eastAsia="Times New Roman" w:hAnsi="Times New Roman" w:cs="Times New Roman"/>
                <w:sz w:val="20"/>
                <w:szCs w:val="20"/>
                <w:lang w:eastAsia="tr-TR"/>
              </w:rPr>
            </w:pPr>
          </w:p>
        </w:tc>
        <w:tc>
          <w:tcPr>
            <w:tcW w:w="2895" w:type="dxa"/>
            <w:tcBorders>
              <w:top w:val="nil"/>
              <w:left w:val="nil"/>
              <w:bottom w:val="nil"/>
              <w:right w:val="nil"/>
            </w:tcBorders>
            <w:shd w:val="clear" w:color="auto" w:fill="auto"/>
            <w:noWrap/>
            <w:vAlign w:val="bottom"/>
            <w:hideMark/>
          </w:tcPr>
          <w:p w14:paraId="621CCE1B" w14:textId="77777777" w:rsidR="002E052D" w:rsidRPr="002E052D" w:rsidRDefault="002E052D" w:rsidP="002E052D">
            <w:pPr>
              <w:spacing w:after="0" w:line="240" w:lineRule="auto"/>
              <w:rPr>
                <w:rFonts w:ascii="Times New Roman" w:eastAsia="Times New Roman" w:hAnsi="Times New Roman" w:cs="Times New Roman"/>
                <w:sz w:val="20"/>
                <w:szCs w:val="20"/>
                <w:lang w:eastAsia="tr-TR"/>
              </w:rPr>
            </w:pPr>
          </w:p>
        </w:tc>
      </w:tr>
      <w:tr w:rsidR="002E052D" w:rsidRPr="002E052D" w14:paraId="7C14165F" w14:textId="77777777" w:rsidTr="002B14D7">
        <w:trPr>
          <w:trHeight w:val="292"/>
        </w:trPr>
        <w:tc>
          <w:tcPr>
            <w:tcW w:w="3376" w:type="dxa"/>
            <w:tcBorders>
              <w:top w:val="nil"/>
              <w:left w:val="nil"/>
              <w:bottom w:val="nil"/>
              <w:right w:val="nil"/>
            </w:tcBorders>
            <w:shd w:val="clear" w:color="auto" w:fill="auto"/>
            <w:noWrap/>
            <w:vAlign w:val="bottom"/>
            <w:hideMark/>
          </w:tcPr>
          <w:p w14:paraId="70EC419F" w14:textId="77777777" w:rsidR="002E052D" w:rsidRPr="002E052D" w:rsidRDefault="002E052D" w:rsidP="002E052D">
            <w:pPr>
              <w:spacing w:after="0" w:line="240" w:lineRule="auto"/>
              <w:rPr>
                <w:rFonts w:ascii="Times New Roman" w:eastAsia="Times New Roman" w:hAnsi="Times New Roman" w:cs="Times New Roman"/>
                <w:sz w:val="20"/>
                <w:szCs w:val="20"/>
                <w:lang w:eastAsia="tr-TR"/>
              </w:rPr>
            </w:pPr>
          </w:p>
        </w:tc>
        <w:tc>
          <w:tcPr>
            <w:tcW w:w="2233" w:type="dxa"/>
            <w:tcBorders>
              <w:top w:val="nil"/>
              <w:left w:val="nil"/>
              <w:bottom w:val="nil"/>
              <w:right w:val="nil"/>
            </w:tcBorders>
            <w:shd w:val="clear" w:color="auto" w:fill="auto"/>
            <w:noWrap/>
            <w:vAlign w:val="bottom"/>
            <w:hideMark/>
          </w:tcPr>
          <w:p w14:paraId="329E5EC2" w14:textId="77777777" w:rsidR="002E052D" w:rsidRPr="002E052D" w:rsidRDefault="002E052D" w:rsidP="002E052D">
            <w:pPr>
              <w:spacing w:after="0" w:line="240" w:lineRule="auto"/>
              <w:rPr>
                <w:rFonts w:ascii="Times New Roman" w:eastAsia="Times New Roman" w:hAnsi="Times New Roman" w:cs="Times New Roman"/>
                <w:sz w:val="20"/>
                <w:szCs w:val="20"/>
                <w:lang w:eastAsia="tr-TR"/>
              </w:rPr>
            </w:pPr>
          </w:p>
        </w:tc>
        <w:tc>
          <w:tcPr>
            <w:tcW w:w="2895" w:type="dxa"/>
            <w:tcBorders>
              <w:top w:val="nil"/>
              <w:left w:val="nil"/>
              <w:bottom w:val="nil"/>
              <w:right w:val="nil"/>
            </w:tcBorders>
            <w:shd w:val="clear" w:color="auto" w:fill="auto"/>
            <w:noWrap/>
            <w:vAlign w:val="bottom"/>
            <w:hideMark/>
          </w:tcPr>
          <w:p w14:paraId="00A604D5" w14:textId="77777777" w:rsidR="002E052D" w:rsidRPr="002E052D" w:rsidRDefault="002E052D" w:rsidP="002E052D">
            <w:pPr>
              <w:spacing w:after="0" w:line="240" w:lineRule="auto"/>
              <w:rPr>
                <w:rFonts w:ascii="Times New Roman" w:eastAsia="Times New Roman" w:hAnsi="Times New Roman" w:cs="Times New Roman"/>
                <w:sz w:val="20"/>
                <w:szCs w:val="20"/>
                <w:lang w:eastAsia="tr-TR"/>
              </w:rPr>
            </w:pPr>
          </w:p>
        </w:tc>
      </w:tr>
      <w:tr w:rsidR="002E052D" w:rsidRPr="002E052D" w14:paraId="2AD5864D" w14:textId="77777777" w:rsidTr="002B14D7">
        <w:trPr>
          <w:trHeight w:val="279"/>
        </w:trPr>
        <w:tc>
          <w:tcPr>
            <w:tcW w:w="850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9AB4728" w14:textId="77777777" w:rsidR="002E052D" w:rsidRPr="002E052D" w:rsidRDefault="002E052D" w:rsidP="002E052D">
            <w:pPr>
              <w:spacing w:after="0" w:line="240" w:lineRule="auto"/>
              <w:jc w:val="center"/>
              <w:rPr>
                <w:rFonts w:ascii="Times New Roman" w:eastAsia="Times New Roman" w:hAnsi="Times New Roman" w:cs="Times New Roman"/>
                <w:b/>
                <w:bCs/>
                <w:color w:val="000000"/>
                <w:sz w:val="24"/>
                <w:szCs w:val="24"/>
                <w:lang w:eastAsia="tr-TR"/>
              </w:rPr>
            </w:pPr>
            <w:r w:rsidRPr="002E052D">
              <w:rPr>
                <w:rFonts w:ascii="Times New Roman" w:eastAsia="Times New Roman" w:hAnsi="Times New Roman" w:cs="Times New Roman"/>
                <w:b/>
                <w:bCs/>
                <w:color w:val="000000"/>
                <w:sz w:val="24"/>
                <w:szCs w:val="24"/>
                <w:lang w:eastAsia="tr-TR"/>
              </w:rPr>
              <w:t>01 Ocak - 30 Haziran 2024</w:t>
            </w:r>
          </w:p>
        </w:tc>
      </w:tr>
      <w:tr w:rsidR="002E052D" w:rsidRPr="002E052D" w14:paraId="2F9F15C9" w14:textId="77777777" w:rsidTr="002B14D7">
        <w:trPr>
          <w:trHeight w:val="279"/>
        </w:trPr>
        <w:tc>
          <w:tcPr>
            <w:tcW w:w="560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8DF75C" w14:textId="77777777" w:rsidR="002E052D" w:rsidRPr="002E052D" w:rsidRDefault="002E052D" w:rsidP="002E052D">
            <w:pPr>
              <w:spacing w:after="0" w:line="240" w:lineRule="auto"/>
              <w:rPr>
                <w:rFonts w:ascii="Times New Roman" w:eastAsia="Times New Roman" w:hAnsi="Times New Roman" w:cs="Times New Roman"/>
                <w:sz w:val="24"/>
                <w:szCs w:val="24"/>
                <w:lang w:eastAsia="tr-TR"/>
              </w:rPr>
            </w:pPr>
            <w:r w:rsidRPr="002E052D">
              <w:rPr>
                <w:rFonts w:ascii="Times New Roman" w:eastAsia="Times New Roman" w:hAnsi="Times New Roman" w:cs="Times New Roman"/>
                <w:sz w:val="24"/>
                <w:szCs w:val="24"/>
                <w:lang w:eastAsia="tr-TR"/>
              </w:rPr>
              <w:t>Ortalama Fon Portföy Değeri</w:t>
            </w:r>
          </w:p>
        </w:tc>
        <w:tc>
          <w:tcPr>
            <w:tcW w:w="2895" w:type="dxa"/>
            <w:tcBorders>
              <w:top w:val="nil"/>
              <w:left w:val="nil"/>
              <w:bottom w:val="single" w:sz="4" w:space="0" w:color="auto"/>
              <w:right w:val="single" w:sz="8" w:space="0" w:color="auto"/>
            </w:tcBorders>
            <w:shd w:val="clear" w:color="auto" w:fill="auto"/>
            <w:noWrap/>
            <w:vAlign w:val="bottom"/>
            <w:hideMark/>
          </w:tcPr>
          <w:p w14:paraId="4D5777E3"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18,207,889.55</w:t>
            </w:r>
          </w:p>
        </w:tc>
      </w:tr>
      <w:tr w:rsidR="002E052D" w:rsidRPr="002E052D" w14:paraId="7854F097" w14:textId="77777777" w:rsidTr="002B14D7">
        <w:trPr>
          <w:trHeight w:val="279"/>
        </w:trPr>
        <w:tc>
          <w:tcPr>
            <w:tcW w:w="560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137D17" w14:textId="77777777" w:rsidR="002E052D" w:rsidRPr="002E052D" w:rsidRDefault="002E052D" w:rsidP="002E052D">
            <w:pPr>
              <w:spacing w:after="0" w:line="240" w:lineRule="auto"/>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Toplam Faaliyet Giderleri</w:t>
            </w:r>
          </w:p>
        </w:tc>
        <w:tc>
          <w:tcPr>
            <w:tcW w:w="2895" w:type="dxa"/>
            <w:tcBorders>
              <w:top w:val="nil"/>
              <w:left w:val="nil"/>
              <w:bottom w:val="single" w:sz="4" w:space="0" w:color="auto"/>
              <w:right w:val="single" w:sz="8" w:space="0" w:color="auto"/>
            </w:tcBorders>
            <w:shd w:val="clear" w:color="auto" w:fill="auto"/>
            <w:noWrap/>
            <w:vAlign w:val="bottom"/>
            <w:hideMark/>
          </w:tcPr>
          <w:p w14:paraId="57B29041" w14:textId="77777777" w:rsidR="002E052D" w:rsidRPr="002E052D" w:rsidRDefault="002E052D" w:rsidP="002E052D">
            <w:pPr>
              <w:spacing w:after="0" w:line="240" w:lineRule="auto"/>
              <w:jc w:val="center"/>
              <w:rPr>
                <w:rFonts w:ascii="Times New Roman" w:eastAsia="Times New Roman" w:hAnsi="Times New Roman" w:cs="Times New Roman"/>
                <w:color w:val="000000"/>
                <w:sz w:val="24"/>
                <w:szCs w:val="24"/>
                <w:lang w:eastAsia="tr-TR"/>
              </w:rPr>
            </w:pPr>
            <w:r w:rsidRPr="002E052D">
              <w:rPr>
                <w:rFonts w:ascii="Times New Roman" w:eastAsia="Times New Roman" w:hAnsi="Times New Roman" w:cs="Times New Roman"/>
                <w:color w:val="000000"/>
                <w:sz w:val="24"/>
                <w:szCs w:val="24"/>
                <w:lang w:eastAsia="tr-TR"/>
              </w:rPr>
              <w:t>910,316.10</w:t>
            </w:r>
          </w:p>
        </w:tc>
      </w:tr>
      <w:tr w:rsidR="002E052D" w:rsidRPr="002E052D" w14:paraId="4BA299AE" w14:textId="77777777" w:rsidTr="002B14D7">
        <w:trPr>
          <w:trHeight w:val="292"/>
        </w:trPr>
        <w:tc>
          <w:tcPr>
            <w:tcW w:w="560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9ECF08" w14:textId="77777777" w:rsidR="002E052D" w:rsidRPr="002E052D" w:rsidRDefault="002E052D" w:rsidP="002E052D">
            <w:pPr>
              <w:spacing w:after="0" w:line="240" w:lineRule="auto"/>
              <w:rPr>
                <w:rFonts w:ascii="Times New Roman" w:eastAsia="Times New Roman" w:hAnsi="Times New Roman" w:cs="Times New Roman"/>
                <w:sz w:val="24"/>
                <w:szCs w:val="24"/>
                <w:lang w:eastAsia="tr-TR"/>
              </w:rPr>
            </w:pPr>
            <w:r w:rsidRPr="002E052D">
              <w:rPr>
                <w:rFonts w:ascii="Times New Roman" w:eastAsia="Times New Roman" w:hAnsi="Times New Roman" w:cs="Times New Roman"/>
                <w:sz w:val="24"/>
                <w:szCs w:val="24"/>
                <w:lang w:eastAsia="tr-TR"/>
              </w:rPr>
              <w:t>Toplam Faaliyet Giderleri / Ortalama Portföy Değeri (%)</w:t>
            </w:r>
          </w:p>
        </w:tc>
        <w:tc>
          <w:tcPr>
            <w:tcW w:w="2895" w:type="dxa"/>
            <w:tcBorders>
              <w:top w:val="nil"/>
              <w:left w:val="nil"/>
              <w:bottom w:val="single" w:sz="8" w:space="0" w:color="auto"/>
              <w:right w:val="single" w:sz="8" w:space="0" w:color="auto"/>
            </w:tcBorders>
            <w:shd w:val="clear" w:color="auto" w:fill="auto"/>
            <w:noWrap/>
            <w:vAlign w:val="bottom"/>
            <w:hideMark/>
          </w:tcPr>
          <w:p w14:paraId="0079619E" w14:textId="77777777" w:rsidR="002E052D" w:rsidRPr="002E052D" w:rsidRDefault="002E052D" w:rsidP="002E052D">
            <w:pPr>
              <w:spacing w:after="0" w:line="240" w:lineRule="auto"/>
              <w:jc w:val="center"/>
              <w:rPr>
                <w:rFonts w:ascii="Times New Roman" w:eastAsia="Times New Roman" w:hAnsi="Times New Roman" w:cs="Times New Roman"/>
                <w:sz w:val="24"/>
                <w:szCs w:val="24"/>
                <w:lang w:eastAsia="tr-TR"/>
              </w:rPr>
            </w:pPr>
            <w:r w:rsidRPr="002E052D">
              <w:rPr>
                <w:rFonts w:ascii="Times New Roman" w:eastAsia="Times New Roman" w:hAnsi="Times New Roman" w:cs="Times New Roman"/>
                <w:sz w:val="24"/>
                <w:szCs w:val="24"/>
                <w:lang w:eastAsia="tr-TR"/>
              </w:rPr>
              <w:t>5.00</w:t>
            </w:r>
          </w:p>
        </w:tc>
      </w:tr>
    </w:tbl>
    <w:p w14:paraId="07B0342D" w14:textId="77777777" w:rsidR="003D4003" w:rsidRDefault="003D4003" w:rsidP="00CC7520">
      <w:pPr>
        <w:pStyle w:val="ListeParagraf"/>
        <w:spacing w:after="0"/>
        <w:rPr>
          <w:rFonts w:ascii="Times New Roman" w:hAnsi="Times New Roman" w:cs="Times New Roman"/>
          <w:sz w:val="24"/>
          <w:szCs w:val="24"/>
        </w:rPr>
      </w:pPr>
    </w:p>
    <w:p w14:paraId="48E2ACEA" w14:textId="71DAAD48" w:rsidR="00237C1F" w:rsidRPr="00035D27" w:rsidRDefault="00CC7520" w:rsidP="00035D27">
      <w:pPr>
        <w:pStyle w:val="ListeParagraf"/>
        <w:spacing w:after="0"/>
        <w:rPr>
          <w:rFonts w:ascii="Times New Roman" w:hAnsi="Times New Roman" w:cs="Times New Roman"/>
        </w:rPr>
      </w:pPr>
      <w:r>
        <w:rPr>
          <w:rFonts w:ascii="Times New Roman" w:hAnsi="Times New Roman" w:cs="Times New Roman"/>
          <w:sz w:val="24"/>
          <w:szCs w:val="24"/>
        </w:rPr>
        <w:t xml:space="preserve"> </w:t>
      </w:r>
    </w:p>
    <w:p w14:paraId="0DD162CF" w14:textId="3CBB5757" w:rsidR="00D34E03" w:rsidRDefault="00D34E03" w:rsidP="00CC7520">
      <w:pPr>
        <w:pStyle w:val="ListeParagraf"/>
        <w:spacing w:after="0"/>
        <w:rPr>
          <w:rFonts w:ascii="Times New Roman" w:hAnsi="Times New Roman" w:cs="Times New Roman"/>
          <w:sz w:val="24"/>
          <w:szCs w:val="24"/>
        </w:rPr>
      </w:pPr>
    </w:p>
    <w:p w14:paraId="3B093D03" w14:textId="6233CE91"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41052D" w:rsidRDefault="00275FAF" w:rsidP="001B1C6E">
      <w:pPr>
        <w:pStyle w:val="ListeParagraf"/>
        <w:numPr>
          <w:ilvl w:val="0"/>
          <w:numId w:val="4"/>
        </w:numPr>
        <w:spacing w:after="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75FAF">
        <w:rPr>
          <w:rFonts w:ascii="Times New Roman" w:hAnsi="Times New Roman" w:cs="Times New Roman"/>
          <w:sz w:val="24"/>
          <w:szCs w:val="24"/>
        </w:rPr>
        <w:t>)” inin</w:t>
      </w:r>
      <w:r w:rsidRPr="00275FAF">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41052D">
      <w:pPr>
        <w:pStyle w:val="ListeParagraf"/>
        <w:spacing w:after="0"/>
        <w:jc w:val="both"/>
        <w:rPr>
          <w:rFonts w:ascii="Times New Roman" w:hAnsi="Times New Roman" w:cs="Times New Roman"/>
          <w:b/>
          <w:sz w:val="24"/>
          <w:szCs w:val="24"/>
        </w:rPr>
      </w:pPr>
    </w:p>
    <w:p w14:paraId="609E1FFA" w14:textId="32045E02" w:rsidR="00275FAF" w:rsidRDefault="00275FAF" w:rsidP="001B1C6E">
      <w:pPr>
        <w:pStyle w:val="ListeParagraf"/>
        <w:numPr>
          <w:ilvl w:val="0"/>
          <w:numId w:val="4"/>
        </w:numPr>
        <w:spacing w:after="0"/>
        <w:jc w:val="both"/>
        <w:rPr>
          <w:rFonts w:ascii="Times New Roman" w:hAnsi="Times New Roman" w:cs="Times New Roman"/>
          <w:sz w:val="24"/>
          <w:szCs w:val="24"/>
        </w:rPr>
      </w:pPr>
      <w:r w:rsidRPr="001B1C6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Pr>
          <w:rFonts w:ascii="Times New Roman" w:hAnsi="Times New Roman" w:cs="Times New Roman"/>
          <w:sz w:val="24"/>
          <w:szCs w:val="24"/>
        </w:rPr>
        <w:t xml:space="preserve"> maruz kalabileceği riskler aşağıdaki gibidir:</w:t>
      </w:r>
    </w:p>
    <w:p w14:paraId="7F2858F8" w14:textId="77777777" w:rsidR="0037073E" w:rsidRPr="0037073E" w:rsidRDefault="0037073E" w:rsidP="0037073E">
      <w:pPr>
        <w:pStyle w:val="ListeParagraf"/>
        <w:rPr>
          <w:rFonts w:ascii="Times New Roman" w:hAnsi="Times New Roman" w:cs="Times New Roman"/>
          <w:sz w:val="24"/>
          <w:szCs w:val="24"/>
        </w:rPr>
      </w:pPr>
    </w:p>
    <w:p w14:paraId="3CD6A10C" w14:textId="10ED151D" w:rsidR="0037073E" w:rsidRDefault="0037073E" w:rsidP="0037073E">
      <w:pPr>
        <w:pStyle w:val="ListeParagraf"/>
        <w:numPr>
          <w:ilvl w:val="0"/>
          <w:numId w:val="10"/>
        </w:numPr>
        <w:spacing w:after="0"/>
        <w:jc w:val="both"/>
      </w:pPr>
      <w:r w:rsidRPr="0037073E">
        <w:rPr>
          <w:b/>
          <w:bCs/>
        </w:rPr>
        <w:t>Piyasa Riski:</w:t>
      </w:r>
      <w:r>
        <w:t xml:space="preserve"> 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 verilmektedir. </w:t>
      </w:r>
    </w:p>
    <w:p w14:paraId="1C49CE27" w14:textId="5676780C" w:rsidR="0037073E" w:rsidRDefault="0037073E" w:rsidP="0037073E">
      <w:pPr>
        <w:pStyle w:val="ListeParagraf"/>
        <w:numPr>
          <w:ilvl w:val="0"/>
          <w:numId w:val="11"/>
        </w:numPr>
        <w:spacing w:after="0"/>
        <w:jc w:val="both"/>
      </w:pPr>
      <w:r>
        <w:t xml:space="preserve">Faiz Oranı Riski: Fon portföyüne faize dayalı varlıkların (borçlanma aracı, ters repo vb) dahil edilmesi halinde, söz konusu varlıkların değerinde piyasalarda yaşanabilecek faiz oranları değişimleri nedeniyle oluşan riski ifade eder. </w:t>
      </w:r>
    </w:p>
    <w:p w14:paraId="18B31C83" w14:textId="2A59997E" w:rsidR="0037073E" w:rsidRDefault="0037073E" w:rsidP="0037073E">
      <w:pPr>
        <w:pStyle w:val="ListeParagraf"/>
        <w:numPr>
          <w:ilvl w:val="0"/>
          <w:numId w:val="11"/>
        </w:numPr>
        <w:spacing w:after="0"/>
        <w:jc w:val="both"/>
      </w:pPr>
      <w:r>
        <w:t xml:space="preserve">Ortaklık Payı Fiyat Riski: Fon portföyüne ortaklık payı dahil edilmesi halinde, Fon portföyünde bulunan ortaklık paylarının fiyatlarında meydana gelebilecek değişiklikler nedeniyle portföyün maruz kalacağı zarar olasılığını ifade etmektedir. </w:t>
      </w:r>
    </w:p>
    <w:p w14:paraId="05FBEFC1" w14:textId="77777777" w:rsidR="0037073E" w:rsidRDefault="0037073E" w:rsidP="0037073E">
      <w:pPr>
        <w:spacing w:after="0"/>
        <w:ind w:left="720"/>
        <w:jc w:val="both"/>
      </w:pPr>
      <w:r>
        <w:t xml:space="preserve">c- Kar Payı Oranı Riski: Fon portföyüne kira sertifikası, katılma hesabı gibi kâra katılım olanağı sağlayan katılım finans ürünlerinin dahil edilmesi durumunda, söz konusu yatırımların getiri oranındaki değişimler nedeniyle maruz kalınabilecek zarar olasılığıdır. </w:t>
      </w:r>
    </w:p>
    <w:p w14:paraId="281873CF" w14:textId="77777777" w:rsidR="0037073E" w:rsidRDefault="0037073E" w:rsidP="0037073E">
      <w:pPr>
        <w:spacing w:after="0"/>
        <w:ind w:left="720"/>
        <w:jc w:val="both"/>
      </w:pPr>
      <w:r w:rsidRPr="0037073E">
        <w:rPr>
          <w:b/>
          <w:bCs/>
        </w:rPr>
        <w:t>2) Karşı Taraf Riski:</w:t>
      </w:r>
      <w:r>
        <w:t xml:space="preserve"> Karşı tarafın sözleşmeden kaynaklanan yükümlülüklerini yerine getirmek istememesi ve/veya yerine getirememesi veya takas işlemlerinde ortaya çıkan aksaklıklar sonucunda ödemenin yapılamaması riskini ifade etmektedir. </w:t>
      </w:r>
    </w:p>
    <w:p w14:paraId="4E4F0C0D" w14:textId="77777777" w:rsidR="0037073E" w:rsidRDefault="0037073E" w:rsidP="0037073E">
      <w:pPr>
        <w:spacing w:after="0"/>
        <w:ind w:left="720"/>
        <w:jc w:val="both"/>
      </w:pPr>
      <w:r w:rsidRPr="0037073E">
        <w:rPr>
          <w:b/>
          <w:bCs/>
        </w:rPr>
        <w:t>3) Likidite Riski:</w:t>
      </w:r>
      <w:r>
        <w:t xml:space="preserve"> Fon portföyünde bulunan finansal varlıkların istenildiği anda piyasa fiyatından nakde dönüştürülememesi halinde ortaya çıkan zarar olasılığıdır. </w:t>
      </w:r>
    </w:p>
    <w:p w14:paraId="6E9CE3A3" w14:textId="77777777" w:rsidR="0037073E" w:rsidRDefault="0037073E" w:rsidP="0037073E">
      <w:pPr>
        <w:spacing w:after="0"/>
        <w:ind w:left="720"/>
        <w:jc w:val="both"/>
      </w:pPr>
      <w:r w:rsidRPr="0037073E">
        <w:rPr>
          <w:b/>
          <w:bCs/>
        </w:rPr>
        <w:t>4) Kaldıraç Yaratan İşlem Riski:</w:t>
      </w:r>
      <w:r>
        <w:t xml:space="preserve"> Fon portföyüne türev araç (vadeli işlem ve opsiyon sözleşmeleri), saklı türev araç, swap sözleşmesi, varant, sertifika dahil edilmesi, ileri valörlü tahvil/bono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p>
    <w:p w14:paraId="0C2D96B6" w14:textId="77777777" w:rsidR="0037073E" w:rsidRDefault="0037073E" w:rsidP="0037073E">
      <w:pPr>
        <w:spacing w:after="0"/>
        <w:ind w:left="720"/>
        <w:jc w:val="both"/>
      </w:pPr>
      <w:r w:rsidRPr="0037073E">
        <w:rPr>
          <w:b/>
          <w:bCs/>
        </w:rPr>
        <w:t>5) Operasyonel Risk:</w:t>
      </w:r>
      <w: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 </w:t>
      </w:r>
    </w:p>
    <w:p w14:paraId="0BDC94BA" w14:textId="77777777" w:rsidR="0037073E" w:rsidRDefault="0037073E" w:rsidP="0037073E">
      <w:pPr>
        <w:spacing w:after="0"/>
        <w:ind w:left="720"/>
        <w:jc w:val="both"/>
      </w:pPr>
      <w:r w:rsidRPr="0037073E">
        <w:rPr>
          <w:b/>
          <w:bCs/>
        </w:rPr>
        <w:lastRenderedPageBreak/>
        <w:t>6) Yoğunlaşma Riski:</w:t>
      </w:r>
      <w:r>
        <w:t xml:space="preserve"> Belli bir varlığa ve/veya vadeye yoğun yatırım yapılması sonucu fonun bu varlığın ve vadenin içerdiği risklere maruz kalmasıdır. </w:t>
      </w:r>
    </w:p>
    <w:p w14:paraId="090E1B51" w14:textId="77777777" w:rsidR="0037073E" w:rsidRDefault="0037073E" w:rsidP="0037073E">
      <w:pPr>
        <w:spacing w:after="0"/>
        <w:ind w:left="720"/>
        <w:jc w:val="both"/>
      </w:pPr>
      <w:r w:rsidRPr="0037073E">
        <w:rPr>
          <w:b/>
          <w:bCs/>
        </w:rPr>
        <w:t>7) Korelasyon Riski</w:t>
      </w:r>
      <w:r>
        <w:t>: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4F65904B" w14:textId="77777777" w:rsidR="0037073E" w:rsidRDefault="0037073E" w:rsidP="0037073E">
      <w:pPr>
        <w:spacing w:after="0"/>
        <w:ind w:left="720"/>
        <w:jc w:val="both"/>
      </w:pPr>
      <w:r w:rsidRPr="0037073E">
        <w:rPr>
          <w:b/>
          <w:bCs/>
        </w:rPr>
        <w:t xml:space="preserve"> 8) Yasal Risk:</w:t>
      </w:r>
      <w:r>
        <w:t xml:space="preserve"> Fonun katılma paylarının satıldığı dönemden sonra mevzuatta ve düzenleyici otoritelerin düzenlemelerinde meydana gelebilecek değişiklerden olumsuz etkilenmesi riskidir. </w:t>
      </w:r>
    </w:p>
    <w:p w14:paraId="4AE36AA9" w14:textId="77777777" w:rsidR="0037073E" w:rsidRDefault="0037073E" w:rsidP="0037073E">
      <w:pPr>
        <w:spacing w:after="0"/>
        <w:ind w:left="720"/>
        <w:jc w:val="both"/>
      </w:pPr>
      <w:r w:rsidRPr="0037073E">
        <w:rPr>
          <w:b/>
          <w:bCs/>
        </w:rPr>
        <w:t>9) İhraççı Riski:</w:t>
      </w:r>
      <w:r>
        <w:t xml:space="preserve"> Fon portföyüne alınan varlıkların ihraççısının yükümlülüklerini kısmen veya tamamen zamanında yerine getirememesi nedeniyle doğabilecek zarar ihtimalini ifade eder. </w:t>
      </w:r>
      <w:r w:rsidRPr="0037073E">
        <w:rPr>
          <w:b/>
          <w:bCs/>
        </w:rPr>
        <w:t>10) Teminat Riski:</w:t>
      </w:r>
      <w:r>
        <w:t xml:space="preserve"> Türev araçlar üzerinden alınan bir pozisyonun güvencesi olarak alınan teminatın, zorunlu haller sebebiyle likide edilmesi halinde piyasaya göre değerleme değerinin beklenen türev pozisyon değerini karşılamaması riskidir. </w:t>
      </w:r>
    </w:p>
    <w:p w14:paraId="6AD41E12" w14:textId="77777777" w:rsidR="0037073E" w:rsidRDefault="0037073E" w:rsidP="0037073E">
      <w:pPr>
        <w:spacing w:after="0"/>
        <w:ind w:left="720"/>
        <w:jc w:val="both"/>
      </w:pPr>
      <w:r w:rsidRPr="0037073E">
        <w:rPr>
          <w:b/>
          <w:bCs/>
        </w:rPr>
        <w:t>11)Baz Riski:</w:t>
      </w:r>
      <w: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 </w:t>
      </w:r>
    </w:p>
    <w:p w14:paraId="1D292EBE" w14:textId="77777777" w:rsidR="0037073E" w:rsidRDefault="0037073E" w:rsidP="0037073E">
      <w:pPr>
        <w:spacing w:after="0"/>
        <w:ind w:left="720"/>
        <w:jc w:val="both"/>
      </w:pPr>
      <w:r w:rsidRPr="0037073E">
        <w:rPr>
          <w:b/>
          <w:bCs/>
        </w:rPr>
        <w:t>12)Opsiyon Duyarlılık Riskleri:</w:t>
      </w:r>
      <w:r>
        <w:t xml:space="preserve"> Opsiyon portföylerinde risk duyarlıkları arasında, işleme konu olan spot finansal ürün fiyat değişiminde çok farklı miktarda risk duyarlılık değişimleri yaşanabilmektedir. </w:t>
      </w:r>
    </w:p>
    <w:p w14:paraId="37E48C43" w14:textId="77777777" w:rsidR="0037073E" w:rsidRDefault="0037073E" w:rsidP="0037073E">
      <w:pPr>
        <w:spacing w:after="0"/>
        <w:ind w:left="720"/>
        <w:jc w:val="both"/>
      </w:pPr>
      <w:r>
        <w:t xml:space="preserve">• Delta; opsiyonun yazıldığı ilgili finansal varlığın fiyatındaki bir birim değişmenin opsiyon priminde oluşturduğu değişimi göstermektedir. </w:t>
      </w:r>
    </w:p>
    <w:p w14:paraId="6932E014" w14:textId="77777777" w:rsidR="0037073E" w:rsidRDefault="0037073E" w:rsidP="0037073E">
      <w:pPr>
        <w:spacing w:after="0"/>
        <w:ind w:left="720"/>
        <w:jc w:val="both"/>
      </w:pPr>
      <w:r>
        <w:t xml:space="preserve">• Gamma; Opsiyonun ilgili olduğu varlığın fiyatındaki değişimin opsiyonun deltasında meydana getirdiği değişimi ölçmektedir. </w:t>
      </w:r>
    </w:p>
    <w:p w14:paraId="185C6D4B" w14:textId="77777777" w:rsidR="0037073E" w:rsidRDefault="0037073E" w:rsidP="0037073E">
      <w:pPr>
        <w:spacing w:after="0"/>
        <w:ind w:left="720"/>
        <w:jc w:val="both"/>
      </w:pPr>
      <w:r>
        <w:t xml:space="preserve">• Theta; Risk ölçümlerinde büyük önem taşıyan zaman faktörünü ifade eden gösterge olup, opsiyon fiyatının vadeye göre değişiminin ölçüsüdür. </w:t>
      </w:r>
    </w:p>
    <w:p w14:paraId="337F0D9C" w14:textId="77777777" w:rsidR="0037073E" w:rsidRDefault="0037073E" w:rsidP="0037073E">
      <w:pPr>
        <w:spacing w:after="0"/>
        <w:ind w:left="720"/>
        <w:jc w:val="both"/>
      </w:pPr>
      <w:r>
        <w:t xml:space="preserve">• Rho; Faiz oranlarındaki yüzdesel değişimin opsiyonun fiyatında oluşturduğu değişimin ölçüsüdür. </w:t>
      </w:r>
    </w:p>
    <w:p w14:paraId="437F79F2" w14:textId="77777777" w:rsidR="0037073E" w:rsidRDefault="0037073E" w:rsidP="0037073E">
      <w:pPr>
        <w:spacing w:after="0"/>
        <w:ind w:left="720"/>
        <w:jc w:val="both"/>
      </w:pPr>
      <w:r>
        <w:t xml:space="preserve">13)• Vega; Opsiyonun dayandığı varlığın fiyat dalgalanırlığındaki birim değişimin opsiyon priminde oluşturduğu değişimdir. </w:t>
      </w:r>
    </w:p>
    <w:p w14:paraId="12D7EB0F" w14:textId="77777777" w:rsidR="0037073E" w:rsidRDefault="0037073E" w:rsidP="0037073E">
      <w:pPr>
        <w:spacing w:after="0"/>
        <w:ind w:left="720"/>
        <w:jc w:val="both"/>
      </w:pPr>
      <w:r w:rsidRPr="0037073E">
        <w:rPr>
          <w:b/>
          <w:bCs/>
        </w:rPr>
        <w:t>14) Yapılandırılmış Yatırım/Borçlanma Araçları Riskleri:</w:t>
      </w:r>
      <w: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Yapılandırılmış yatırım/borçlanma aracından kaynaklanan yükümlülüklerini yerine </w:t>
      </w:r>
      <w:r>
        <w:lastRenderedPageBreak/>
        <w:t xml:space="preserve">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330086B5" w14:textId="77777777" w:rsidR="0037073E" w:rsidRDefault="0037073E" w:rsidP="0037073E">
      <w:pPr>
        <w:spacing w:after="0"/>
        <w:ind w:left="720"/>
        <w:jc w:val="both"/>
      </w:pPr>
      <w:r w:rsidRPr="0037073E">
        <w:rPr>
          <w:b/>
          <w:bCs/>
        </w:rPr>
        <w:t>15) Açığa Satış Riski:</w:t>
      </w:r>
      <w:r>
        <w:t xml:space="preserve"> Fon Portföyü içerisinden açığa satım yapılacak olan ilgili finansal enstrümanlarda piyasa likiditesinin daralması dolayısı ile ödünç karşılığı ve/veya doğrudan açığa satım imkanlarının azalması durumunu ifade etmektedir. </w:t>
      </w:r>
    </w:p>
    <w:p w14:paraId="4E1C079D" w14:textId="77777777" w:rsidR="0037073E" w:rsidRDefault="0037073E" w:rsidP="0037073E">
      <w:pPr>
        <w:spacing w:after="0"/>
        <w:ind w:left="720"/>
        <w:jc w:val="both"/>
      </w:pPr>
      <w:r w:rsidRPr="0037073E">
        <w:rPr>
          <w:b/>
          <w:bCs/>
        </w:rPr>
        <w:t>16) İşlemin Sonuçlandırılamaması Riski:</w:t>
      </w:r>
      <w:r>
        <w:t xml:space="preserve"> Olağanüstü koşullar nedeniyle ödeme ve takas sistemlerindeki bozulmanın, durmanın, çökmenin yarattığı risktir. </w:t>
      </w:r>
    </w:p>
    <w:p w14:paraId="1F32FB1F" w14:textId="77777777" w:rsidR="0037073E" w:rsidRDefault="0037073E" w:rsidP="0037073E">
      <w:pPr>
        <w:spacing w:after="0"/>
        <w:ind w:left="720"/>
        <w:jc w:val="both"/>
      </w:pPr>
      <w:r w:rsidRPr="0037073E">
        <w:rPr>
          <w:b/>
          <w:bCs/>
        </w:rPr>
        <w:t>17) Etik Risk:</w:t>
      </w:r>
      <w:r>
        <w:t xml:space="preserve"> Dolandırıcılık, suistimal, zimmete para geçirme, hırsızlık gibi nedenler ile Fon’u zarara uğratabilecek kasıtlı eylemler ya da Kurucu’nun itibarını olumsuz etkileyecek suçların (örneğin, kara para aklanması) işlenmesi riskidir. </w:t>
      </w:r>
    </w:p>
    <w:p w14:paraId="6E9F2401" w14:textId="77777777" w:rsidR="0037073E" w:rsidRDefault="0037073E" w:rsidP="0037073E">
      <w:pPr>
        <w:spacing w:after="0"/>
        <w:ind w:left="720"/>
        <w:jc w:val="both"/>
      </w:pPr>
      <w:r w:rsidRPr="0037073E">
        <w:rPr>
          <w:b/>
          <w:bCs/>
        </w:rPr>
        <w:t>18) Veri Güvenilirliği Riski:</w:t>
      </w:r>
      <w:r>
        <w:t xml:space="preserve"> Finansal veya finansal olmayan işlemlerin kayıtlara alınması veya raporlanmasında yanlışlık ve eksiklikler bulunması, zamanlamasında gecikmeler oluşmasından kaynaklanan risktir. </w:t>
      </w:r>
    </w:p>
    <w:p w14:paraId="6C973064" w14:textId="01D8A0D8" w:rsidR="0037073E" w:rsidRPr="0037073E" w:rsidRDefault="0037073E" w:rsidP="0037073E">
      <w:pPr>
        <w:spacing w:after="0"/>
        <w:ind w:left="720"/>
        <w:jc w:val="both"/>
        <w:rPr>
          <w:rFonts w:ascii="Times New Roman" w:hAnsi="Times New Roman" w:cs="Times New Roman"/>
          <w:sz w:val="24"/>
          <w:szCs w:val="24"/>
        </w:rPr>
      </w:pPr>
      <w:r w:rsidRPr="0037073E">
        <w:rPr>
          <w:b/>
          <w:bCs/>
        </w:rPr>
        <w:t>19) Diğer Riskler:</w:t>
      </w:r>
      <w: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sectPr w:rsidR="0037073E" w:rsidRPr="0037073E" w:rsidSect="008A60CB">
      <w:headerReference w:type="default" r:id="rId14"/>
      <w:head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8T20:21:00Z" w:initials="A">
    <w:p w14:paraId="02DBB00F" w14:textId="724F15AE" w:rsidR="00DB0790" w:rsidRDefault="00DB0790">
      <w:pPr>
        <w:pStyle w:val="AklamaMetni"/>
      </w:pPr>
      <w:r>
        <w:rPr>
          <w:rStyle w:val="AklamaBavurusu"/>
        </w:rPr>
        <w:annotationRef/>
      </w:r>
      <w:r>
        <w:t>kontrol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DBB0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DBB00F" w16cid:durableId="5E1C0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1CCE" w14:textId="77777777" w:rsidR="00EE0CE4" w:rsidRDefault="00EE0CE4" w:rsidP="00A05B08">
      <w:pPr>
        <w:spacing w:after="0" w:line="240" w:lineRule="auto"/>
      </w:pPr>
      <w:r>
        <w:separator/>
      </w:r>
    </w:p>
  </w:endnote>
  <w:endnote w:type="continuationSeparator" w:id="0">
    <w:p w14:paraId="06DCF1EF" w14:textId="77777777" w:rsidR="00EE0CE4" w:rsidRDefault="00EE0CE4"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552F7" w14:textId="77777777" w:rsidR="00EE0CE4" w:rsidRDefault="00EE0CE4" w:rsidP="00A05B08">
      <w:pPr>
        <w:spacing w:after="0" w:line="240" w:lineRule="auto"/>
      </w:pPr>
      <w:r>
        <w:separator/>
      </w:r>
    </w:p>
  </w:footnote>
  <w:footnote w:type="continuationSeparator" w:id="0">
    <w:p w14:paraId="1C465679" w14:textId="77777777" w:rsidR="00EE0CE4" w:rsidRDefault="00EE0CE4"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6FF42F4F" w:rsidR="00A05B08" w:rsidRPr="0041052D" w:rsidRDefault="006C1991">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HEDEF PORTFÖY MUTLAK GETİRİ HEDEFLİ HİSSE SENEDİ SERBEST (TL) FON (HİSSE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40B3" w14:textId="77777777" w:rsidR="005565D3" w:rsidRDefault="005565D3" w:rsidP="005565D3">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7581C7B3" wp14:editId="64A6A359">
              <wp:simplePos x="0" y="0"/>
              <wp:positionH relativeFrom="column">
                <wp:posOffset>3618865</wp:posOffset>
              </wp:positionH>
              <wp:positionV relativeFrom="paragraph">
                <wp:posOffset>-214630</wp:posOffset>
              </wp:positionV>
              <wp:extent cx="2235200" cy="10858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D0142"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3B161FB0"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5ACA6D31"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2CBCADE"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F3266DC" w14:textId="77777777" w:rsidR="005565D3" w:rsidRPr="0064371B" w:rsidRDefault="005565D3" w:rsidP="005565D3">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4BA0F950" w14:textId="77777777" w:rsidR="005565D3" w:rsidRDefault="005565D3" w:rsidP="005565D3">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81C7B3" id="_x0000_t202" coordsize="21600,21600" o:spt="202" path="m,l,21600r21600,l21600,xe">
              <v:stroke joinstyle="miter"/>
              <v:path gradientshapeok="t" o:connecttype="rect"/>
            </v:shapetype>
            <v:shape id="Metin Kutusu 2" o:spid="_x0000_s1026" type="#_x0000_t202" style="position:absolute;margin-left:284.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8vssKN8AAAALAQAADwAAAAAAAAAAAAAAAAA6BAAAZHJzL2Rvd25yZXYueG1sUEsF&#10;BgAAAAAEAAQA8wAAAEYFAAAAAA==&#10;" filled="f" stroked="f">
              <v:textbox>
                <w:txbxContent>
                  <w:p w14:paraId="4FAD0142"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3B161FB0"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5ACA6D31"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2CBCADE" w14:textId="77777777" w:rsidR="005565D3" w:rsidRPr="00447D36" w:rsidRDefault="005565D3" w:rsidP="005565D3">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F3266DC" w14:textId="77777777" w:rsidR="005565D3" w:rsidRPr="0064371B" w:rsidRDefault="005565D3" w:rsidP="005565D3">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4BA0F950" w14:textId="77777777" w:rsidR="005565D3" w:rsidRDefault="005565D3" w:rsidP="005565D3">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6BEC438F" wp14:editId="61E8A71B">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1E7D102F" w14:textId="77777777" w:rsidR="005565D3" w:rsidRDefault="005565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6748" w14:textId="77777777" w:rsidR="005565D3" w:rsidRPr="0041052D" w:rsidRDefault="005565D3">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HEDEF PORTFÖY MUTLAK GETİRİ HEDEFLİ HİSSE SENEDİ SERBEST (TL) FON (HİSSE SENEDİ YOĞUN FON) PERFORMANS SUNUM</w:t>
    </w:r>
    <w:r w:rsidRPr="0041052D">
      <w:rPr>
        <w:rFonts w:ascii="Times New Roman" w:hAnsi="Times New Roman" w:cs="Times New Roman"/>
        <w:b/>
        <w:color w:val="1F3864" w:themeColor="accent5" w:themeShade="80"/>
        <w:sz w:val="24"/>
        <w:szCs w:val="24"/>
      </w:rPr>
      <w:t xml:space="preserve"> RAPORU</w:t>
    </w:r>
  </w:p>
  <w:p w14:paraId="181AEBEE" w14:textId="77777777" w:rsidR="005565D3" w:rsidRDefault="005565D3">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8424" w14:textId="77777777" w:rsidR="005565D3" w:rsidRDefault="005565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40C6"/>
    <w:multiLevelType w:val="hybridMultilevel"/>
    <w:tmpl w:val="C6C2B04C"/>
    <w:lvl w:ilvl="0" w:tplc="C2048A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E211ED"/>
    <w:multiLevelType w:val="hybridMultilevel"/>
    <w:tmpl w:val="2C9E22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1595046753">
    <w:abstractNumId w:val="4"/>
  </w:num>
  <w:num w:numId="2" w16cid:durableId="1808475627">
    <w:abstractNumId w:val="0"/>
  </w:num>
  <w:num w:numId="3" w16cid:durableId="1782266420">
    <w:abstractNumId w:val="8"/>
  </w:num>
  <w:num w:numId="4" w16cid:durableId="1916427702">
    <w:abstractNumId w:val="7"/>
  </w:num>
  <w:num w:numId="5" w16cid:durableId="1077359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485256">
    <w:abstractNumId w:val="9"/>
  </w:num>
  <w:num w:numId="7" w16cid:durableId="597905180">
    <w:abstractNumId w:val="2"/>
  </w:num>
  <w:num w:numId="8" w16cid:durableId="154421882">
    <w:abstractNumId w:val="6"/>
  </w:num>
  <w:num w:numId="9" w16cid:durableId="1327637059">
    <w:abstractNumId w:val="3"/>
  </w:num>
  <w:num w:numId="10" w16cid:durableId="84807764">
    <w:abstractNumId w:val="5"/>
  </w:num>
  <w:num w:numId="11" w16cid:durableId="9044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7597"/>
    <w:rsid w:val="00011985"/>
    <w:rsid w:val="0001236F"/>
    <w:rsid w:val="00016B29"/>
    <w:rsid w:val="00030329"/>
    <w:rsid w:val="00032E31"/>
    <w:rsid w:val="000333B4"/>
    <w:rsid w:val="00035D27"/>
    <w:rsid w:val="00044114"/>
    <w:rsid w:val="00044A2B"/>
    <w:rsid w:val="000669A7"/>
    <w:rsid w:val="000A1D61"/>
    <w:rsid w:val="000A5120"/>
    <w:rsid w:val="000B06A1"/>
    <w:rsid w:val="000B2046"/>
    <w:rsid w:val="000E1417"/>
    <w:rsid w:val="000F7A0F"/>
    <w:rsid w:val="000F7B1B"/>
    <w:rsid w:val="00103F61"/>
    <w:rsid w:val="00106889"/>
    <w:rsid w:val="00137894"/>
    <w:rsid w:val="0014109D"/>
    <w:rsid w:val="00154745"/>
    <w:rsid w:val="00156406"/>
    <w:rsid w:val="0016246E"/>
    <w:rsid w:val="001B1348"/>
    <w:rsid w:val="001B1C6E"/>
    <w:rsid w:val="001C4968"/>
    <w:rsid w:val="001C500A"/>
    <w:rsid w:val="001E0E01"/>
    <w:rsid w:val="001F03D6"/>
    <w:rsid w:val="00223B91"/>
    <w:rsid w:val="0023421B"/>
    <w:rsid w:val="00236423"/>
    <w:rsid w:val="00237C1F"/>
    <w:rsid w:val="00237E2E"/>
    <w:rsid w:val="00242370"/>
    <w:rsid w:val="00267E0A"/>
    <w:rsid w:val="00275FAF"/>
    <w:rsid w:val="00294CF5"/>
    <w:rsid w:val="00295675"/>
    <w:rsid w:val="002B133F"/>
    <w:rsid w:val="002B14D7"/>
    <w:rsid w:val="002C3E80"/>
    <w:rsid w:val="002D47A7"/>
    <w:rsid w:val="002E0202"/>
    <w:rsid w:val="002E052D"/>
    <w:rsid w:val="002E2517"/>
    <w:rsid w:val="002E565C"/>
    <w:rsid w:val="002F4EB5"/>
    <w:rsid w:val="00335609"/>
    <w:rsid w:val="00345E9E"/>
    <w:rsid w:val="00351EF4"/>
    <w:rsid w:val="00353A6C"/>
    <w:rsid w:val="00357332"/>
    <w:rsid w:val="0037073E"/>
    <w:rsid w:val="00373F9B"/>
    <w:rsid w:val="00392B73"/>
    <w:rsid w:val="00395760"/>
    <w:rsid w:val="00396176"/>
    <w:rsid w:val="003B245E"/>
    <w:rsid w:val="003B2EC8"/>
    <w:rsid w:val="003C4DE7"/>
    <w:rsid w:val="003D0357"/>
    <w:rsid w:val="003D35A3"/>
    <w:rsid w:val="003D4003"/>
    <w:rsid w:val="003D4A1E"/>
    <w:rsid w:val="003D66F7"/>
    <w:rsid w:val="003F1273"/>
    <w:rsid w:val="0041052D"/>
    <w:rsid w:val="00416252"/>
    <w:rsid w:val="00420E95"/>
    <w:rsid w:val="004641F8"/>
    <w:rsid w:val="0048537A"/>
    <w:rsid w:val="00487C17"/>
    <w:rsid w:val="00495B04"/>
    <w:rsid w:val="00495F19"/>
    <w:rsid w:val="004A5550"/>
    <w:rsid w:val="004C5257"/>
    <w:rsid w:val="004E72E0"/>
    <w:rsid w:val="005103E5"/>
    <w:rsid w:val="00526E80"/>
    <w:rsid w:val="00546B0A"/>
    <w:rsid w:val="005565D3"/>
    <w:rsid w:val="00596C79"/>
    <w:rsid w:val="005A19EC"/>
    <w:rsid w:val="005B4267"/>
    <w:rsid w:val="005C70A1"/>
    <w:rsid w:val="005D0231"/>
    <w:rsid w:val="005D3818"/>
    <w:rsid w:val="005D4629"/>
    <w:rsid w:val="005F5413"/>
    <w:rsid w:val="00611C61"/>
    <w:rsid w:val="0062182C"/>
    <w:rsid w:val="00621CF3"/>
    <w:rsid w:val="00623AF0"/>
    <w:rsid w:val="006353AA"/>
    <w:rsid w:val="00644A5B"/>
    <w:rsid w:val="00681A26"/>
    <w:rsid w:val="006858ED"/>
    <w:rsid w:val="0068663D"/>
    <w:rsid w:val="006A0773"/>
    <w:rsid w:val="006A1BA4"/>
    <w:rsid w:val="006C07D6"/>
    <w:rsid w:val="006C1991"/>
    <w:rsid w:val="006D1809"/>
    <w:rsid w:val="006E187A"/>
    <w:rsid w:val="006F1320"/>
    <w:rsid w:val="007158BB"/>
    <w:rsid w:val="00732B90"/>
    <w:rsid w:val="007403AA"/>
    <w:rsid w:val="007A0262"/>
    <w:rsid w:val="007B4462"/>
    <w:rsid w:val="007B4E2D"/>
    <w:rsid w:val="007D2136"/>
    <w:rsid w:val="007D618E"/>
    <w:rsid w:val="007D6535"/>
    <w:rsid w:val="007D75CD"/>
    <w:rsid w:val="007E1E7D"/>
    <w:rsid w:val="007E2D28"/>
    <w:rsid w:val="00806F20"/>
    <w:rsid w:val="008260F4"/>
    <w:rsid w:val="00866F67"/>
    <w:rsid w:val="00897BBB"/>
    <w:rsid w:val="008A2B04"/>
    <w:rsid w:val="008A4183"/>
    <w:rsid w:val="008A4474"/>
    <w:rsid w:val="008A60CB"/>
    <w:rsid w:val="008C136E"/>
    <w:rsid w:val="008C4F82"/>
    <w:rsid w:val="008E4063"/>
    <w:rsid w:val="00901163"/>
    <w:rsid w:val="00942BAD"/>
    <w:rsid w:val="00943520"/>
    <w:rsid w:val="009449E7"/>
    <w:rsid w:val="00973E09"/>
    <w:rsid w:val="00976460"/>
    <w:rsid w:val="009A6126"/>
    <w:rsid w:val="009B0194"/>
    <w:rsid w:val="009B44A9"/>
    <w:rsid w:val="009C12A3"/>
    <w:rsid w:val="009C7259"/>
    <w:rsid w:val="009D0218"/>
    <w:rsid w:val="00A05B08"/>
    <w:rsid w:val="00A05ECA"/>
    <w:rsid w:val="00A16EE9"/>
    <w:rsid w:val="00A17399"/>
    <w:rsid w:val="00A23DDD"/>
    <w:rsid w:val="00A263C6"/>
    <w:rsid w:val="00A2654E"/>
    <w:rsid w:val="00A50942"/>
    <w:rsid w:val="00A6163A"/>
    <w:rsid w:val="00A667D5"/>
    <w:rsid w:val="00A779B1"/>
    <w:rsid w:val="00AA17B4"/>
    <w:rsid w:val="00AD4058"/>
    <w:rsid w:val="00AE2A97"/>
    <w:rsid w:val="00AF3A9D"/>
    <w:rsid w:val="00B0426D"/>
    <w:rsid w:val="00B212E2"/>
    <w:rsid w:val="00B23CB7"/>
    <w:rsid w:val="00B302E1"/>
    <w:rsid w:val="00B5502B"/>
    <w:rsid w:val="00B76F6E"/>
    <w:rsid w:val="00B975CA"/>
    <w:rsid w:val="00BA118B"/>
    <w:rsid w:val="00BA2C65"/>
    <w:rsid w:val="00BC0AF1"/>
    <w:rsid w:val="00BC4211"/>
    <w:rsid w:val="00BE37F7"/>
    <w:rsid w:val="00BF2B84"/>
    <w:rsid w:val="00BF54DE"/>
    <w:rsid w:val="00C027D8"/>
    <w:rsid w:val="00C1436C"/>
    <w:rsid w:val="00C158F7"/>
    <w:rsid w:val="00C16969"/>
    <w:rsid w:val="00C3212A"/>
    <w:rsid w:val="00CB3A13"/>
    <w:rsid w:val="00CC0D71"/>
    <w:rsid w:val="00CC5551"/>
    <w:rsid w:val="00CC7520"/>
    <w:rsid w:val="00CD4C99"/>
    <w:rsid w:val="00CD7184"/>
    <w:rsid w:val="00CF029B"/>
    <w:rsid w:val="00D302F4"/>
    <w:rsid w:val="00D34E03"/>
    <w:rsid w:val="00D36275"/>
    <w:rsid w:val="00D52CC0"/>
    <w:rsid w:val="00D633CC"/>
    <w:rsid w:val="00D7161B"/>
    <w:rsid w:val="00D81B9A"/>
    <w:rsid w:val="00DB0790"/>
    <w:rsid w:val="00DB6092"/>
    <w:rsid w:val="00E12E3B"/>
    <w:rsid w:val="00E27CCD"/>
    <w:rsid w:val="00E3650A"/>
    <w:rsid w:val="00E50129"/>
    <w:rsid w:val="00E815C1"/>
    <w:rsid w:val="00E82E87"/>
    <w:rsid w:val="00E87525"/>
    <w:rsid w:val="00EA6C4D"/>
    <w:rsid w:val="00EB4E0D"/>
    <w:rsid w:val="00EC5160"/>
    <w:rsid w:val="00EC7B39"/>
    <w:rsid w:val="00ED1661"/>
    <w:rsid w:val="00ED76F3"/>
    <w:rsid w:val="00EE0CE4"/>
    <w:rsid w:val="00EE1C8B"/>
    <w:rsid w:val="00EF2040"/>
    <w:rsid w:val="00EF5135"/>
    <w:rsid w:val="00EF700D"/>
    <w:rsid w:val="00F42315"/>
    <w:rsid w:val="00F5703C"/>
    <w:rsid w:val="00F70D62"/>
    <w:rsid w:val="00F76DF3"/>
    <w:rsid w:val="00F9313C"/>
    <w:rsid w:val="00F94051"/>
    <w:rsid w:val="00F97A70"/>
    <w:rsid w:val="00FC0405"/>
    <w:rsid w:val="00FC543F"/>
    <w:rsid w:val="00FD3C59"/>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BEB07617-8738-462E-BC88-A95E9FF1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paragraph" w:customStyle="1" w:styleId="Default">
    <w:name w:val="Default"/>
    <w:rsid w:val="005565D3"/>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5565D3"/>
  </w:style>
  <w:style w:type="paragraph" w:customStyle="1" w:styleId="paragraph">
    <w:name w:val="paragraph"/>
    <w:basedOn w:val="Normal"/>
    <w:rsid w:val="005565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5565D3"/>
  </w:style>
  <w:style w:type="character" w:styleId="AklamaBavurusu">
    <w:name w:val="annotation reference"/>
    <w:basedOn w:val="VarsaylanParagrafYazTipi"/>
    <w:uiPriority w:val="99"/>
    <w:semiHidden/>
    <w:unhideWhenUsed/>
    <w:rsid w:val="00DB0790"/>
    <w:rPr>
      <w:sz w:val="16"/>
      <w:szCs w:val="16"/>
    </w:rPr>
  </w:style>
  <w:style w:type="paragraph" w:styleId="AklamaMetni">
    <w:name w:val="annotation text"/>
    <w:basedOn w:val="Normal"/>
    <w:link w:val="AklamaMetniChar"/>
    <w:uiPriority w:val="99"/>
    <w:semiHidden/>
    <w:unhideWhenUsed/>
    <w:rsid w:val="00DB07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0790"/>
    <w:rPr>
      <w:sz w:val="20"/>
      <w:szCs w:val="20"/>
    </w:rPr>
  </w:style>
  <w:style w:type="paragraph" w:styleId="AklamaKonusu">
    <w:name w:val="annotation subject"/>
    <w:basedOn w:val="AklamaMetni"/>
    <w:next w:val="AklamaMetni"/>
    <w:link w:val="AklamaKonusuChar"/>
    <w:uiPriority w:val="99"/>
    <w:semiHidden/>
    <w:unhideWhenUsed/>
    <w:rsid w:val="00DB0790"/>
    <w:rPr>
      <w:b/>
      <w:bCs/>
    </w:rPr>
  </w:style>
  <w:style w:type="character" w:customStyle="1" w:styleId="AklamaKonusuChar">
    <w:name w:val="Açıklama Konusu Char"/>
    <w:basedOn w:val="AklamaMetniChar"/>
    <w:link w:val="AklamaKonusu"/>
    <w:uiPriority w:val="99"/>
    <w:semiHidden/>
    <w:rsid w:val="00DB07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38653705">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0066248">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77540981">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1982242">
      <w:bodyDiv w:val="1"/>
      <w:marLeft w:val="0"/>
      <w:marRight w:val="0"/>
      <w:marTop w:val="0"/>
      <w:marBottom w:val="0"/>
      <w:divBdr>
        <w:top w:val="none" w:sz="0" w:space="0" w:color="auto"/>
        <w:left w:val="none" w:sz="0" w:space="0" w:color="auto"/>
        <w:bottom w:val="none" w:sz="0" w:space="0" w:color="auto"/>
        <w:right w:val="none" w:sz="0" w:space="0" w:color="auto"/>
      </w:divBdr>
    </w:div>
    <w:div w:id="1136340818">
      <w:bodyDiv w:val="1"/>
      <w:marLeft w:val="0"/>
      <w:marRight w:val="0"/>
      <w:marTop w:val="0"/>
      <w:marBottom w:val="0"/>
      <w:divBdr>
        <w:top w:val="none" w:sz="0" w:space="0" w:color="auto"/>
        <w:left w:val="none" w:sz="0" w:space="0" w:color="auto"/>
        <w:bottom w:val="none" w:sz="0" w:space="0" w:color="auto"/>
        <w:right w:val="none" w:sz="0" w:space="0" w:color="auto"/>
      </w:divBdr>
    </w:div>
    <w:div w:id="1205944176">
      <w:bodyDiv w:val="1"/>
      <w:marLeft w:val="0"/>
      <w:marRight w:val="0"/>
      <w:marTop w:val="0"/>
      <w:marBottom w:val="0"/>
      <w:divBdr>
        <w:top w:val="none" w:sz="0" w:space="0" w:color="auto"/>
        <w:left w:val="none" w:sz="0" w:space="0" w:color="auto"/>
        <w:bottom w:val="none" w:sz="0" w:space="0" w:color="auto"/>
        <w:right w:val="none" w:sz="0" w:space="0" w:color="auto"/>
      </w:divBdr>
      <w:divsChild>
        <w:div w:id="77459579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34924102">
      <w:bodyDiv w:val="1"/>
      <w:marLeft w:val="0"/>
      <w:marRight w:val="0"/>
      <w:marTop w:val="0"/>
      <w:marBottom w:val="0"/>
      <w:divBdr>
        <w:top w:val="none" w:sz="0" w:space="0" w:color="auto"/>
        <w:left w:val="none" w:sz="0" w:space="0" w:color="auto"/>
        <w:bottom w:val="none" w:sz="0" w:space="0" w:color="auto"/>
        <w:right w:val="none" w:sz="0" w:space="0" w:color="auto"/>
      </w:divBdr>
      <w:divsChild>
        <w:div w:id="71539936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64712469">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 w:id="2106463561">
      <w:bodyDiv w:val="1"/>
      <w:marLeft w:val="0"/>
      <w:marRight w:val="0"/>
      <w:marTop w:val="0"/>
      <w:marBottom w:val="0"/>
      <w:divBdr>
        <w:top w:val="none" w:sz="0" w:space="0" w:color="auto"/>
        <w:left w:val="none" w:sz="0" w:space="0" w:color="auto"/>
        <w:bottom w:val="none" w:sz="0" w:space="0" w:color="auto"/>
        <w:right w:val="none" w:sz="0" w:space="0" w:color="auto"/>
      </w:divBdr>
    </w:div>
    <w:div w:id="21447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86387-0570-4DF7-A8A9-CF302874C4C2}">
  <ds:schemaRefs>
    <ds:schemaRef ds:uri="http://schemas.microsoft.com/sharepoint/v3/contenttype/forms"/>
  </ds:schemaRefs>
</ds:datastoreItem>
</file>

<file path=customXml/itemProps2.xml><?xml version="1.0" encoding="utf-8"?>
<ds:datastoreItem xmlns:ds="http://schemas.openxmlformats.org/officeDocument/2006/customXml" ds:itemID="{198D0784-0145-4796-BB8E-17167669D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2244</Words>
  <Characters>12797</Characters>
  <Application>Microsoft Office Word</Application>
  <DocSecurity>4</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2024-07-19T06:07:00Z</dcterms:created>
  <dcterms:modified xsi:type="dcterms:W3CDTF">2024-07-19T06:07:00Z</dcterms:modified>
</cp:coreProperties>
</file>