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C7FBA" w14:textId="77777777" w:rsidR="00346B10" w:rsidRDefault="00346B10" w:rsidP="00346B10">
      <w:pPr>
        <w:pStyle w:val="Default"/>
        <w:jc w:val="center"/>
      </w:pPr>
    </w:p>
    <w:p w14:paraId="7AFCCCF9" w14:textId="77777777" w:rsidR="00346B10" w:rsidRDefault="00346B10" w:rsidP="00346B10">
      <w:pPr>
        <w:pStyle w:val="Default"/>
        <w:jc w:val="center"/>
      </w:pPr>
    </w:p>
    <w:p w14:paraId="4F505475" w14:textId="77777777" w:rsidR="00346B10" w:rsidRDefault="00346B10" w:rsidP="00346B10">
      <w:pPr>
        <w:pStyle w:val="Default"/>
        <w:jc w:val="center"/>
      </w:pPr>
    </w:p>
    <w:p w14:paraId="57C4EAD6" w14:textId="77777777" w:rsidR="00346B10" w:rsidRDefault="00346B10" w:rsidP="00346B10">
      <w:pPr>
        <w:pStyle w:val="Default"/>
        <w:jc w:val="center"/>
      </w:pPr>
    </w:p>
    <w:p w14:paraId="387207E2" w14:textId="77777777" w:rsidR="00346B10" w:rsidRDefault="00346B10" w:rsidP="00346B10">
      <w:pPr>
        <w:pStyle w:val="Default"/>
        <w:jc w:val="center"/>
      </w:pPr>
    </w:p>
    <w:p w14:paraId="09A53169" w14:textId="77777777" w:rsidR="00346B10" w:rsidRDefault="00346B10" w:rsidP="00346B10">
      <w:pPr>
        <w:pStyle w:val="Default"/>
        <w:jc w:val="center"/>
      </w:pPr>
    </w:p>
    <w:p w14:paraId="2165477D" w14:textId="77777777" w:rsidR="00346B10" w:rsidRDefault="00346B10" w:rsidP="00346B10">
      <w:pPr>
        <w:pStyle w:val="Default"/>
        <w:jc w:val="center"/>
      </w:pPr>
    </w:p>
    <w:p w14:paraId="45743EAE" w14:textId="77777777" w:rsidR="00346B10" w:rsidRDefault="00346B10" w:rsidP="00346B10">
      <w:pPr>
        <w:pStyle w:val="Default"/>
        <w:jc w:val="center"/>
      </w:pPr>
    </w:p>
    <w:p w14:paraId="179582DD" w14:textId="77777777" w:rsidR="00346B10" w:rsidRDefault="00346B10" w:rsidP="00346B10">
      <w:pPr>
        <w:pStyle w:val="Default"/>
        <w:jc w:val="center"/>
      </w:pPr>
    </w:p>
    <w:p w14:paraId="5DCA101B" w14:textId="77777777" w:rsidR="00346B10" w:rsidRDefault="00346B10" w:rsidP="00346B10">
      <w:pPr>
        <w:pStyle w:val="Default"/>
        <w:jc w:val="center"/>
      </w:pPr>
    </w:p>
    <w:p w14:paraId="2BD8C203" w14:textId="77777777" w:rsidR="00346B10" w:rsidRDefault="00346B10" w:rsidP="00346B10">
      <w:pPr>
        <w:pStyle w:val="Default"/>
        <w:jc w:val="center"/>
      </w:pPr>
    </w:p>
    <w:p w14:paraId="3597BDA4" w14:textId="77777777" w:rsidR="00346B10" w:rsidRDefault="00346B10" w:rsidP="00346B10">
      <w:pPr>
        <w:pStyle w:val="Default"/>
        <w:jc w:val="center"/>
      </w:pPr>
    </w:p>
    <w:p w14:paraId="1952FA2C" w14:textId="77777777" w:rsidR="00346B10" w:rsidRDefault="00346B10" w:rsidP="00346B10">
      <w:pPr>
        <w:pStyle w:val="Default"/>
        <w:jc w:val="center"/>
      </w:pPr>
    </w:p>
    <w:p w14:paraId="1F54294D" w14:textId="77777777" w:rsidR="00346B10" w:rsidRDefault="00346B10" w:rsidP="00346B10">
      <w:pPr>
        <w:pStyle w:val="Default"/>
        <w:jc w:val="center"/>
      </w:pPr>
    </w:p>
    <w:p w14:paraId="7AC1351A" w14:textId="77777777" w:rsidR="00346B10" w:rsidRDefault="00346B10" w:rsidP="00346B10">
      <w:pPr>
        <w:pStyle w:val="Default"/>
        <w:jc w:val="center"/>
      </w:pPr>
    </w:p>
    <w:p w14:paraId="611F273F" w14:textId="77777777" w:rsidR="00346B10" w:rsidRDefault="00346B10" w:rsidP="00346B10">
      <w:pPr>
        <w:pStyle w:val="Default"/>
        <w:jc w:val="center"/>
      </w:pPr>
    </w:p>
    <w:p w14:paraId="03317F05" w14:textId="77777777" w:rsidR="00346B10" w:rsidRDefault="00346B10" w:rsidP="00346B10">
      <w:pPr>
        <w:pStyle w:val="Default"/>
        <w:jc w:val="center"/>
      </w:pPr>
    </w:p>
    <w:p w14:paraId="1CE2A235" w14:textId="77777777" w:rsidR="00346B10" w:rsidRDefault="00346B10" w:rsidP="00346B10">
      <w:pPr>
        <w:pStyle w:val="Default"/>
        <w:jc w:val="center"/>
      </w:pPr>
    </w:p>
    <w:p w14:paraId="3D75985C" w14:textId="77777777" w:rsidR="00346B10" w:rsidRDefault="00346B10" w:rsidP="00346B10">
      <w:pPr>
        <w:pStyle w:val="Default"/>
        <w:jc w:val="center"/>
      </w:pPr>
    </w:p>
    <w:p w14:paraId="6362C861" w14:textId="77777777" w:rsidR="00346B10" w:rsidRDefault="00346B10" w:rsidP="00346B10">
      <w:pPr>
        <w:pStyle w:val="Default"/>
        <w:jc w:val="center"/>
      </w:pPr>
    </w:p>
    <w:p w14:paraId="5FAE0B9A" w14:textId="77777777" w:rsidR="00346B10" w:rsidRDefault="00346B10" w:rsidP="00346B10">
      <w:pPr>
        <w:pStyle w:val="Default"/>
        <w:jc w:val="center"/>
        <w:rPr>
          <w:rStyle w:val="normaltextrun"/>
          <w:rFonts w:ascii="Arial Narrow" w:eastAsia="Times New Roman" w:hAnsi="Arial Narrow" w:cs="Segoe UI"/>
          <w:b/>
          <w:bCs/>
          <w:color w:val="auto"/>
          <w:sz w:val="22"/>
          <w:szCs w:val="22"/>
          <w:lang w:eastAsia="tr-TR"/>
        </w:rPr>
      </w:pPr>
      <w:r w:rsidRPr="00E97256">
        <w:rPr>
          <w:rStyle w:val="normaltextrun"/>
          <w:rFonts w:ascii="Arial Narrow" w:eastAsia="Times New Roman" w:hAnsi="Arial Narrow" w:cs="Segoe UI"/>
          <w:b/>
          <w:bCs/>
          <w:color w:val="auto"/>
          <w:sz w:val="22"/>
          <w:szCs w:val="22"/>
          <w:lang w:eastAsia="tr-TR"/>
        </w:rPr>
        <w:t>HEDEF PORTFÖY BİRİNCİ HİSSE SENEDİ (TL) FONU (HİSSE SENEDİ YOĞUN FON)</w:t>
      </w:r>
    </w:p>
    <w:p w14:paraId="32FFEF09" w14:textId="77777777" w:rsidR="00346B10" w:rsidRPr="00700FDE" w:rsidRDefault="00346B10" w:rsidP="00346B10">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1F81E8D0" w14:textId="77777777" w:rsidR="00346B10" w:rsidRPr="00700FDE" w:rsidRDefault="00346B10" w:rsidP="00346B10">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55CD4469" w14:textId="77777777" w:rsidR="00346B10" w:rsidRPr="00700FDE" w:rsidRDefault="00346B10" w:rsidP="00346B10">
      <w:pPr>
        <w:tabs>
          <w:tab w:val="left" w:pos="2730"/>
        </w:tabs>
        <w:jc w:val="center"/>
        <w:rPr>
          <w:rFonts w:ascii="Arial Narrow" w:hAnsi="Arial Narrow"/>
        </w:rPr>
      </w:pPr>
      <w:r w:rsidRPr="00700FDE">
        <w:rPr>
          <w:rFonts w:ascii="Arial Narrow" w:hAnsi="Arial Narrow"/>
        </w:rPr>
        <w:t>KAMUYA AÇIKLANAN BİLGİLERE İLİŞKİN RAPOR</w:t>
      </w:r>
    </w:p>
    <w:p w14:paraId="59035FBF" w14:textId="77777777" w:rsidR="00346B10" w:rsidRDefault="00346B10" w:rsidP="006B6E11">
      <w:pPr>
        <w:pStyle w:val="Balk1"/>
        <w:rPr>
          <w:rFonts w:ascii="Times New Roman" w:hAnsi="Times New Roman" w:cs="Times New Roman"/>
        </w:rPr>
      </w:pPr>
    </w:p>
    <w:p w14:paraId="3EC6499C" w14:textId="77777777" w:rsidR="00346B10" w:rsidRDefault="00346B10" w:rsidP="00346B10"/>
    <w:p w14:paraId="5802BADD" w14:textId="77777777" w:rsidR="00346B10" w:rsidRDefault="00346B10" w:rsidP="00346B10"/>
    <w:p w14:paraId="7BC79E47" w14:textId="77777777" w:rsidR="00346B10" w:rsidRDefault="00346B10" w:rsidP="00346B10"/>
    <w:p w14:paraId="340FFC82" w14:textId="77777777" w:rsidR="00346B10" w:rsidRDefault="00346B10" w:rsidP="00346B10"/>
    <w:p w14:paraId="6456E4A9" w14:textId="77777777" w:rsidR="00346B10" w:rsidRDefault="00346B10" w:rsidP="00346B10"/>
    <w:p w14:paraId="748F14A3" w14:textId="77777777" w:rsidR="00346B10" w:rsidRDefault="00346B10" w:rsidP="00346B10"/>
    <w:p w14:paraId="3017AAFA" w14:textId="77777777" w:rsidR="00346B10" w:rsidRDefault="00346B10" w:rsidP="00346B10"/>
    <w:p w14:paraId="1706F2BE" w14:textId="77777777" w:rsidR="00346B10" w:rsidRDefault="00346B10" w:rsidP="00346B10"/>
    <w:p w14:paraId="009B262A" w14:textId="77777777" w:rsidR="00346B10" w:rsidRDefault="00346B10" w:rsidP="00346B10"/>
    <w:p w14:paraId="5B13C324" w14:textId="77777777" w:rsidR="00346B10" w:rsidRDefault="00346B10" w:rsidP="00346B10"/>
    <w:p w14:paraId="20322A87" w14:textId="77777777" w:rsidR="00346B10" w:rsidRPr="00346B10" w:rsidRDefault="00346B10" w:rsidP="00346B10">
      <w:pPr>
        <w:sectPr w:rsidR="00346B10" w:rsidRPr="00346B10" w:rsidSect="008A60CB">
          <w:headerReference w:type="default" r:id="rId9"/>
          <w:pgSz w:w="11906" w:h="16838"/>
          <w:pgMar w:top="1417" w:right="1417" w:bottom="1417" w:left="1417" w:header="708" w:footer="708" w:gutter="0"/>
          <w:cols w:space="708"/>
          <w:titlePg/>
          <w:docGrid w:linePitch="360"/>
        </w:sectPr>
      </w:pPr>
    </w:p>
    <w:p w14:paraId="465C87EC"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p>
    <w:p w14:paraId="229C6045"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p>
    <w:p w14:paraId="64260DC2"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p>
    <w:p w14:paraId="66D7462B" w14:textId="77777777" w:rsidR="00346B10" w:rsidRDefault="00346B10" w:rsidP="00346B10">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E97256">
        <w:rPr>
          <w:rStyle w:val="normaltextrun"/>
          <w:rFonts w:ascii="Arial Narrow" w:hAnsi="Arial Narrow" w:cs="Segoe UI"/>
          <w:b/>
          <w:bCs/>
          <w:sz w:val="22"/>
          <w:szCs w:val="22"/>
        </w:rPr>
        <w:t>HEDEF PORTFÖY BİRİNCİ HİSSE SENEDİ (TL) FONU (HİSSE SENEDİ YOĞUN FON)</w:t>
      </w:r>
    </w:p>
    <w:p w14:paraId="6BABCCDD" w14:textId="77777777" w:rsidR="00346B10" w:rsidRDefault="00346B10" w:rsidP="00346B10">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38DF340B" w14:textId="77777777" w:rsidR="00346B10" w:rsidRDefault="00346B10" w:rsidP="00346B10">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65DC6A47"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3E60F4B"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Hedef Portföy</w:t>
      </w:r>
      <w:r w:rsidRPr="00E97256">
        <w:rPr>
          <w:rStyle w:val="normaltextrun"/>
          <w:rFonts w:ascii="Arial Narrow" w:hAnsi="Arial Narrow" w:cs="Segoe UI"/>
          <w:sz w:val="22"/>
          <w:szCs w:val="22"/>
        </w:rPr>
        <w:t xml:space="preserve"> Birinci Hisse Senedi (T</w:t>
      </w:r>
      <w:r>
        <w:rPr>
          <w:rStyle w:val="normaltextrun"/>
          <w:rFonts w:ascii="Arial Narrow" w:hAnsi="Arial Narrow" w:cs="Segoe UI"/>
          <w:sz w:val="22"/>
          <w:szCs w:val="22"/>
        </w:rPr>
        <w:t>L</w:t>
      </w:r>
      <w:r w:rsidRPr="00E97256">
        <w:rPr>
          <w:rStyle w:val="normaltextrun"/>
          <w:rFonts w:ascii="Arial Narrow" w:hAnsi="Arial Narrow" w:cs="Segoe UI"/>
          <w:sz w:val="22"/>
          <w:szCs w:val="22"/>
        </w:rPr>
        <w:t>) Fonu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3BE5807F"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E7F5037"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25354425"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7840428"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6EA0154C"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E5DE93E"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43C9A0E7" w14:textId="77777777" w:rsidR="00346B10" w:rsidRDefault="00346B10" w:rsidP="00346B1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292E8C4B"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79C8F2EF"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D1CA4ED"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EEFD35E"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118C8AA1"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57AEEEEB"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D10A28E"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2392516"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5508E70"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E75498A"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492E75C"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2C27F0D"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0A90EC45"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74C4BEAC"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AD3C1BF" w14:textId="77777777" w:rsidR="00346B10" w:rsidRDefault="00346B10" w:rsidP="00346B1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68BCA090" w14:textId="77777777" w:rsidR="00346B10" w:rsidRPr="00586AE5" w:rsidRDefault="00346B10" w:rsidP="00346B10">
      <w:pPr>
        <w:widowControl w:val="0"/>
        <w:spacing w:after="0" w:line="276" w:lineRule="auto"/>
        <w:ind w:right="-1"/>
        <w:contextualSpacing/>
        <w:jc w:val="center"/>
        <w:rPr>
          <w:rFonts w:ascii="Arial Narrow" w:hAnsi="Arial Narrow"/>
        </w:rPr>
      </w:pPr>
    </w:p>
    <w:p w14:paraId="6626A93C" w14:textId="77777777" w:rsidR="00346B10" w:rsidRDefault="00346B10" w:rsidP="006B6E11">
      <w:pPr>
        <w:pStyle w:val="Balk1"/>
        <w:rPr>
          <w:rFonts w:ascii="Times New Roman" w:hAnsi="Times New Roman" w:cs="Times New Roman"/>
        </w:rPr>
        <w:sectPr w:rsidR="00346B10" w:rsidSect="008A60CB">
          <w:headerReference w:type="first" r:id="rId10"/>
          <w:pgSz w:w="11906" w:h="16838"/>
          <w:pgMar w:top="1417" w:right="1417" w:bottom="1417" w:left="1417" w:header="708" w:footer="708" w:gutter="0"/>
          <w:cols w:space="708"/>
          <w:titlePg/>
          <w:docGrid w:linePitch="360"/>
        </w:sectPr>
      </w:pPr>
    </w:p>
    <w:p w14:paraId="40BF73F2" w14:textId="717D11F4" w:rsidR="004E72E0" w:rsidRPr="00C6319A" w:rsidRDefault="004E72E0" w:rsidP="006B6E11">
      <w:pPr>
        <w:pStyle w:val="Balk1"/>
        <w:rPr>
          <w:rFonts w:ascii="Times New Roman" w:hAnsi="Times New Roman" w:cs="Times New Roman"/>
        </w:rPr>
      </w:pPr>
    </w:p>
    <w:p w14:paraId="0BCFE8F4" w14:textId="77777777" w:rsidR="006C07D6" w:rsidRPr="00C6319A" w:rsidRDefault="006C07D6" w:rsidP="00621CF3">
      <w:pPr>
        <w:spacing w:after="0"/>
        <w:rPr>
          <w:rFonts w:ascii="Times New Roman" w:hAnsi="Times New Roman" w:cs="Times New Roman"/>
        </w:rPr>
      </w:pPr>
    </w:p>
    <w:p w14:paraId="42288A8B" w14:textId="77777777" w:rsidR="00032E31" w:rsidRPr="00C6319A" w:rsidRDefault="00032E31" w:rsidP="00621CF3">
      <w:pPr>
        <w:spacing w:after="0"/>
        <w:rPr>
          <w:rFonts w:ascii="Times New Roman" w:hAnsi="Times New Roman" w:cs="Times New Roman"/>
        </w:rPr>
      </w:pPr>
    </w:p>
    <w:p w14:paraId="2857CF4A" w14:textId="77777777" w:rsidR="00032E31" w:rsidRPr="00C6319A" w:rsidRDefault="00032E31" w:rsidP="00621CF3">
      <w:pPr>
        <w:spacing w:after="0"/>
        <w:rPr>
          <w:rFonts w:ascii="Times New Roman" w:hAnsi="Times New Roman" w:cs="Times New Roman"/>
        </w:rPr>
      </w:pPr>
    </w:p>
    <w:p w14:paraId="4BB806B9" w14:textId="77777777" w:rsidR="00032E31" w:rsidRDefault="00032E31" w:rsidP="00621CF3">
      <w:pPr>
        <w:spacing w:after="0"/>
        <w:rPr>
          <w:rFonts w:ascii="Times New Roman" w:hAnsi="Times New Roman" w:cs="Times New Roman"/>
        </w:rPr>
      </w:pPr>
    </w:p>
    <w:p w14:paraId="3F9631F1" w14:textId="77777777" w:rsidR="00346B10" w:rsidRDefault="00346B10" w:rsidP="00621CF3">
      <w:pPr>
        <w:spacing w:after="0"/>
        <w:rPr>
          <w:rFonts w:ascii="Times New Roman" w:hAnsi="Times New Roman" w:cs="Times New Roman"/>
        </w:rPr>
      </w:pPr>
    </w:p>
    <w:p w14:paraId="0006CD89" w14:textId="77777777" w:rsidR="00346B10" w:rsidRDefault="00346B10" w:rsidP="00621CF3">
      <w:pPr>
        <w:spacing w:after="0"/>
        <w:rPr>
          <w:rFonts w:ascii="Times New Roman" w:hAnsi="Times New Roman" w:cs="Times New Roman"/>
        </w:rPr>
      </w:pPr>
    </w:p>
    <w:p w14:paraId="2007B239" w14:textId="77777777" w:rsidR="00346B10" w:rsidRDefault="00346B10" w:rsidP="00621CF3">
      <w:pPr>
        <w:spacing w:after="0"/>
        <w:rPr>
          <w:rFonts w:ascii="Times New Roman" w:hAnsi="Times New Roman" w:cs="Times New Roman"/>
        </w:rPr>
      </w:pPr>
    </w:p>
    <w:p w14:paraId="624D0A0D" w14:textId="77777777" w:rsidR="00346B10" w:rsidRDefault="00346B10" w:rsidP="00621CF3">
      <w:pPr>
        <w:spacing w:after="0"/>
        <w:rPr>
          <w:rFonts w:ascii="Times New Roman" w:hAnsi="Times New Roman" w:cs="Times New Roman"/>
        </w:rPr>
      </w:pPr>
    </w:p>
    <w:p w14:paraId="408777EE" w14:textId="77777777" w:rsidR="00346B10" w:rsidRDefault="00346B10" w:rsidP="00621CF3">
      <w:pPr>
        <w:spacing w:after="0"/>
        <w:rPr>
          <w:rFonts w:ascii="Times New Roman" w:hAnsi="Times New Roman" w:cs="Times New Roman"/>
        </w:rPr>
      </w:pPr>
    </w:p>
    <w:p w14:paraId="2810ABD2" w14:textId="77777777" w:rsidR="00346B10" w:rsidRPr="00C6319A" w:rsidRDefault="00346B10" w:rsidP="00621CF3">
      <w:pPr>
        <w:spacing w:after="0"/>
        <w:rPr>
          <w:rFonts w:ascii="Times New Roman" w:hAnsi="Times New Roman" w:cs="Times New Roman"/>
        </w:rPr>
      </w:pPr>
    </w:p>
    <w:p w14:paraId="6DE6D3ED" w14:textId="77777777" w:rsidR="00032E31" w:rsidRPr="00C6319A" w:rsidRDefault="00032E31" w:rsidP="00621CF3">
      <w:pPr>
        <w:spacing w:after="0"/>
        <w:rPr>
          <w:rFonts w:ascii="Times New Roman" w:hAnsi="Times New Roman" w:cs="Times New Roman"/>
        </w:rPr>
      </w:pPr>
    </w:p>
    <w:p w14:paraId="4B5D1A71" w14:textId="77777777" w:rsidR="00032E31" w:rsidRPr="00C6319A" w:rsidRDefault="00032E31" w:rsidP="00621CF3">
      <w:pPr>
        <w:spacing w:after="0"/>
        <w:rPr>
          <w:rFonts w:ascii="Times New Roman" w:hAnsi="Times New Roman" w:cs="Times New Roman"/>
        </w:rPr>
      </w:pPr>
    </w:p>
    <w:p w14:paraId="4DCC37E4" w14:textId="77777777" w:rsidR="00032E31" w:rsidRPr="00C6319A" w:rsidRDefault="00032E31" w:rsidP="00621CF3">
      <w:pPr>
        <w:spacing w:after="0"/>
        <w:rPr>
          <w:rFonts w:ascii="Times New Roman" w:hAnsi="Times New Roman" w:cs="Times New Roman"/>
        </w:rPr>
      </w:pPr>
    </w:p>
    <w:p w14:paraId="2E8913AD" w14:textId="77777777" w:rsidR="00032E31" w:rsidRPr="00C6319A" w:rsidRDefault="00032E31" w:rsidP="00621CF3">
      <w:pPr>
        <w:spacing w:after="0"/>
        <w:rPr>
          <w:rFonts w:ascii="Times New Roman" w:hAnsi="Times New Roman" w:cs="Times New Roman"/>
        </w:rPr>
      </w:pPr>
    </w:p>
    <w:p w14:paraId="5BC49243" w14:textId="77777777" w:rsidR="00032E31" w:rsidRPr="00C6319A" w:rsidRDefault="00032E31" w:rsidP="00621CF3">
      <w:pPr>
        <w:spacing w:after="0"/>
        <w:rPr>
          <w:rFonts w:ascii="Times New Roman" w:hAnsi="Times New Roman" w:cs="Times New Roman"/>
        </w:rPr>
      </w:pPr>
    </w:p>
    <w:p w14:paraId="1F2BF9F2" w14:textId="77777777" w:rsidR="006C07D6" w:rsidRPr="00C6319A" w:rsidRDefault="006C07D6" w:rsidP="00621CF3">
      <w:pPr>
        <w:spacing w:after="0"/>
        <w:rPr>
          <w:rFonts w:ascii="Times New Roman" w:hAnsi="Times New Roman" w:cs="Times New Roman"/>
        </w:rPr>
      </w:pPr>
    </w:p>
    <w:p w14:paraId="75207813" w14:textId="77777777" w:rsidR="006C07D6" w:rsidRPr="00C6319A" w:rsidRDefault="006C07D6" w:rsidP="00621CF3">
      <w:pPr>
        <w:spacing w:after="0"/>
        <w:rPr>
          <w:rFonts w:ascii="Times New Roman" w:hAnsi="Times New Roman" w:cs="Times New Roman"/>
          <w:sz w:val="24"/>
          <w:szCs w:val="24"/>
        </w:rPr>
      </w:pPr>
    </w:p>
    <w:p w14:paraId="14CE4E4C" w14:textId="7C443E88" w:rsidR="00227C69" w:rsidRPr="00C6319A" w:rsidRDefault="00621CF3" w:rsidP="00621CF3">
      <w:pPr>
        <w:spacing w:after="0"/>
        <w:jc w:val="center"/>
        <w:rPr>
          <w:rFonts w:ascii="Times New Roman" w:hAnsi="Times New Roman" w:cs="Times New Roman"/>
          <w:b/>
          <w:sz w:val="28"/>
          <w:szCs w:val="28"/>
        </w:rPr>
      </w:pPr>
      <w:r w:rsidRPr="00C6319A">
        <w:rPr>
          <w:rFonts w:ascii="Times New Roman" w:hAnsi="Times New Roman" w:cs="Times New Roman"/>
          <w:b/>
          <w:sz w:val="28"/>
          <w:szCs w:val="28"/>
        </w:rPr>
        <w:t>HEDEF PORTFÖY</w:t>
      </w:r>
      <w:r w:rsidR="00982937" w:rsidRPr="00C6319A">
        <w:rPr>
          <w:rFonts w:ascii="Times New Roman" w:hAnsi="Times New Roman" w:cs="Times New Roman"/>
          <w:b/>
          <w:sz w:val="28"/>
          <w:szCs w:val="28"/>
        </w:rPr>
        <w:t xml:space="preserve"> </w:t>
      </w:r>
      <w:r w:rsidR="00227C69" w:rsidRPr="00C6319A">
        <w:rPr>
          <w:rFonts w:ascii="Times New Roman" w:hAnsi="Times New Roman" w:cs="Times New Roman"/>
          <w:b/>
          <w:sz w:val="28"/>
          <w:szCs w:val="28"/>
        </w:rPr>
        <w:t>BİRİNCİ HİSSE SENEDİ</w:t>
      </w:r>
      <w:r w:rsidR="00771AD5" w:rsidRPr="00C6319A">
        <w:rPr>
          <w:rFonts w:ascii="Times New Roman" w:hAnsi="Times New Roman" w:cs="Times New Roman"/>
          <w:b/>
          <w:sz w:val="28"/>
          <w:szCs w:val="28"/>
        </w:rPr>
        <w:t>(TL)</w:t>
      </w:r>
      <w:r w:rsidR="00227C69" w:rsidRPr="00C6319A">
        <w:rPr>
          <w:rFonts w:ascii="Times New Roman" w:hAnsi="Times New Roman" w:cs="Times New Roman"/>
          <w:b/>
          <w:sz w:val="28"/>
          <w:szCs w:val="28"/>
        </w:rPr>
        <w:t xml:space="preserve"> FONU</w:t>
      </w:r>
    </w:p>
    <w:p w14:paraId="79AB75D2" w14:textId="499E82D0" w:rsidR="006C07D6" w:rsidRPr="00C6319A" w:rsidRDefault="00227C69" w:rsidP="00621CF3">
      <w:pPr>
        <w:spacing w:after="0"/>
        <w:jc w:val="center"/>
        <w:rPr>
          <w:rFonts w:ascii="Times New Roman" w:hAnsi="Times New Roman" w:cs="Times New Roman"/>
          <w:b/>
          <w:sz w:val="28"/>
          <w:szCs w:val="28"/>
        </w:rPr>
      </w:pPr>
      <w:r w:rsidRPr="00C6319A">
        <w:rPr>
          <w:rFonts w:ascii="Times New Roman" w:hAnsi="Times New Roman" w:cs="Times New Roman"/>
          <w:b/>
          <w:sz w:val="28"/>
          <w:szCs w:val="28"/>
        </w:rPr>
        <w:t>(HİSSE SENEDİ YOĞUN FON)</w:t>
      </w:r>
    </w:p>
    <w:p w14:paraId="41D4027C" w14:textId="77777777" w:rsidR="00621CF3" w:rsidRPr="00C6319A" w:rsidRDefault="00621CF3" w:rsidP="00621CF3">
      <w:pPr>
        <w:spacing w:after="0"/>
        <w:jc w:val="center"/>
        <w:rPr>
          <w:rFonts w:ascii="Times New Roman" w:hAnsi="Times New Roman" w:cs="Times New Roman"/>
          <w:sz w:val="24"/>
          <w:szCs w:val="24"/>
        </w:rPr>
      </w:pPr>
    </w:p>
    <w:p w14:paraId="7D7018FF" w14:textId="4ED84B99" w:rsidR="00621CF3" w:rsidRPr="00C6319A" w:rsidRDefault="00984E11" w:rsidP="00621CF3">
      <w:pPr>
        <w:spacing w:after="0"/>
        <w:jc w:val="center"/>
        <w:rPr>
          <w:rFonts w:ascii="Times New Roman" w:hAnsi="Times New Roman" w:cs="Times New Roman"/>
          <w:sz w:val="24"/>
          <w:szCs w:val="24"/>
        </w:rPr>
      </w:pPr>
      <w:r w:rsidRPr="00C6319A">
        <w:rPr>
          <w:rFonts w:ascii="Times New Roman" w:hAnsi="Times New Roman" w:cs="Times New Roman"/>
          <w:sz w:val="24"/>
          <w:szCs w:val="24"/>
        </w:rPr>
        <w:t xml:space="preserve">01 OCAK – </w:t>
      </w:r>
      <w:r w:rsidR="00065486">
        <w:rPr>
          <w:rFonts w:ascii="Times New Roman" w:hAnsi="Times New Roman" w:cs="Times New Roman"/>
          <w:sz w:val="24"/>
          <w:szCs w:val="24"/>
        </w:rPr>
        <w:t>30 HAZİRAN 2024</w:t>
      </w:r>
      <w:r w:rsidR="006F16CC" w:rsidRPr="00C6319A">
        <w:rPr>
          <w:rFonts w:ascii="Times New Roman" w:hAnsi="Times New Roman" w:cs="Times New Roman"/>
          <w:sz w:val="24"/>
          <w:szCs w:val="24"/>
        </w:rPr>
        <w:t xml:space="preserve"> </w:t>
      </w:r>
      <w:r w:rsidR="00621CF3" w:rsidRPr="00C6319A">
        <w:rPr>
          <w:rFonts w:ascii="Times New Roman" w:hAnsi="Times New Roman" w:cs="Times New Roman"/>
          <w:sz w:val="24"/>
          <w:szCs w:val="24"/>
        </w:rPr>
        <w:t xml:space="preserve">DÖNEMİNE AİT </w:t>
      </w:r>
    </w:p>
    <w:p w14:paraId="507BF98E" w14:textId="77777777" w:rsidR="00621CF3" w:rsidRPr="00C6319A" w:rsidRDefault="00621CF3" w:rsidP="00621CF3">
      <w:pPr>
        <w:spacing w:after="0"/>
        <w:jc w:val="center"/>
        <w:rPr>
          <w:rFonts w:ascii="Times New Roman" w:hAnsi="Times New Roman" w:cs="Times New Roman"/>
          <w:sz w:val="24"/>
          <w:szCs w:val="24"/>
        </w:rPr>
      </w:pPr>
      <w:r w:rsidRPr="00C6319A">
        <w:rPr>
          <w:rFonts w:ascii="Times New Roman" w:hAnsi="Times New Roman" w:cs="Times New Roman"/>
          <w:sz w:val="24"/>
          <w:szCs w:val="24"/>
        </w:rPr>
        <w:t>PERFORMANS SUNU</w:t>
      </w:r>
      <w:r w:rsidR="007403AA" w:rsidRPr="00C6319A">
        <w:rPr>
          <w:rFonts w:ascii="Times New Roman" w:hAnsi="Times New Roman" w:cs="Times New Roman"/>
          <w:sz w:val="24"/>
          <w:szCs w:val="24"/>
        </w:rPr>
        <w:t>M</w:t>
      </w:r>
      <w:r w:rsidRPr="00C6319A">
        <w:rPr>
          <w:rFonts w:ascii="Times New Roman" w:hAnsi="Times New Roman" w:cs="Times New Roman"/>
          <w:sz w:val="24"/>
          <w:szCs w:val="24"/>
        </w:rPr>
        <w:t xml:space="preserve"> RAPORU </w:t>
      </w:r>
    </w:p>
    <w:p w14:paraId="3F218D6F" w14:textId="77777777" w:rsidR="00621CF3" w:rsidRPr="00C6319A" w:rsidRDefault="00621CF3" w:rsidP="00621CF3">
      <w:pPr>
        <w:spacing w:after="0"/>
        <w:jc w:val="center"/>
        <w:rPr>
          <w:rFonts w:ascii="Times New Roman" w:hAnsi="Times New Roman" w:cs="Times New Roman"/>
          <w:sz w:val="24"/>
          <w:szCs w:val="24"/>
        </w:rPr>
      </w:pPr>
    </w:p>
    <w:p w14:paraId="053BB4CB" w14:textId="77777777" w:rsidR="00621CF3" w:rsidRPr="00C6319A" w:rsidRDefault="00621CF3" w:rsidP="00621CF3">
      <w:pPr>
        <w:spacing w:after="0"/>
        <w:jc w:val="center"/>
        <w:rPr>
          <w:rFonts w:ascii="Times New Roman" w:hAnsi="Times New Roman" w:cs="Times New Roman"/>
          <w:sz w:val="24"/>
          <w:szCs w:val="24"/>
        </w:rPr>
      </w:pPr>
    </w:p>
    <w:p w14:paraId="5E937E93" w14:textId="77777777" w:rsidR="00621CF3" w:rsidRPr="00C6319A" w:rsidRDefault="00621CF3" w:rsidP="00621CF3">
      <w:pPr>
        <w:spacing w:after="0"/>
        <w:jc w:val="center"/>
        <w:rPr>
          <w:rFonts w:ascii="Times New Roman" w:hAnsi="Times New Roman" w:cs="Times New Roman"/>
          <w:sz w:val="24"/>
          <w:szCs w:val="24"/>
        </w:rPr>
      </w:pPr>
    </w:p>
    <w:p w14:paraId="5B6BBB65" w14:textId="77777777" w:rsidR="00621CF3" w:rsidRPr="00C6319A" w:rsidRDefault="00621CF3" w:rsidP="00621CF3">
      <w:pPr>
        <w:spacing w:after="0"/>
        <w:jc w:val="center"/>
        <w:rPr>
          <w:rFonts w:ascii="Times New Roman" w:hAnsi="Times New Roman" w:cs="Times New Roman"/>
          <w:sz w:val="24"/>
          <w:szCs w:val="24"/>
        </w:rPr>
      </w:pPr>
    </w:p>
    <w:p w14:paraId="4F010468" w14:textId="77777777" w:rsidR="00621CF3" w:rsidRPr="00C6319A" w:rsidRDefault="00621CF3" w:rsidP="00621CF3">
      <w:pPr>
        <w:spacing w:after="0"/>
        <w:jc w:val="center"/>
        <w:rPr>
          <w:rFonts w:ascii="Times New Roman" w:hAnsi="Times New Roman" w:cs="Times New Roman"/>
          <w:sz w:val="24"/>
          <w:szCs w:val="24"/>
        </w:rPr>
      </w:pPr>
    </w:p>
    <w:p w14:paraId="7512E724" w14:textId="77777777" w:rsidR="00621CF3" w:rsidRPr="00C6319A" w:rsidRDefault="00621CF3" w:rsidP="00621CF3">
      <w:pPr>
        <w:spacing w:after="0"/>
        <w:jc w:val="center"/>
        <w:rPr>
          <w:rFonts w:ascii="Times New Roman" w:hAnsi="Times New Roman" w:cs="Times New Roman"/>
          <w:sz w:val="24"/>
          <w:szCs w:val="24"/>
        </w:rPr>
      </w:pPr>
    </w:p>
    <w:p w14:paraId="1ED006B9" w14:textId="77777777" w:rsidR="00621CF3" w:rsidRPr="00C6319A" w:rsidRDefault="00621CF3" w:rsidP="00621CF3">
      <w:pPr>
        <w:spacing w:after="0"/>
        <w:jc w:val="center"/>
        <w:rPr>
          <w:rFonts w:ascii="Times New Roman" w:hAnsi="Times New Roman" w:cs="Times New Roman"/>
          <w:sz w:val="24"/>
          <w:szCs w:val="24"/>
        </w:rPr>
      </w:pPr>
    </w:p>
    <w:p w14:paraId="2D9EAC84" w14:textId="77777777" w:rsidR="00AD4058" w:rsidRPr="00C6319A" w:rsidRDefault="00AD4058" w:rsidP="00621CF3">
      <w:pPr>
        <w:spacing w:after="0"/>
        <w:jc w:val="center"/>
        <w:rPr>
          <w:rFonts w:ascii="Times New Roman" w:hAnsi="Times New Roman" w:cs="Times New Roman"/>
          <w:sz w:val="24"/>
          <w:szCs w:val="24"/>
        </w:rPr>
      </w:pPr>
    </w:p>
    <w:p w14:paraId="3B4D1E78" w14:textId="77777777" w:rsidR="00AD4058" w:rsidRPr="00C6319A" w:rsidRDefault="00AD4058" w:rsidP="00621CF3">
      <w:pPr>
        <w:spacing w:after="0"/>
        <w:jc w:val="center"/>
        <w:rPr>
          <w:rFonts w:ascii="Times New Roman" w:hAnsi="Times New Roman" w:cs="Times New Roman"/>
          <w:sz w:val="24"/>
          <w:szCs w:val="24"/>
        </w:rPr>
      </w:pPr>
    </w:p>
    <w:p w14:paraId="1896A542" w14:textId="77777777" w:rsidR="00AD4058" w:rsidRPr="00C6319A" w:rsidRDefault="00AD4058" w:rsidP="00621CF3">
      <w:pPr>
        <w:spacing w:after="0"/>
        <w:jc w:val="center"/>
        <w:rPr>
          <w:rFonts w:ascii="Times New Roman" w:hAnsi="Times New Roman" w:cs="Times New Roman"/>
          <w:sz w:val="24"/>
          <w:szCs w:val="24"/>
        </w:rPr>
      </w:pPr>
    </w:p>
    <w:p w14:paraId="664E8946" w14:textId="77777777" w:rsidR="00AD4058" w:rsidRPr="00C6319A" w:rsidRDefault="00AD4058" w:rsidP="00621CF3">
      <w:pPr>
        <w:spacing w:after="0"/>
        <w:jc w:val="center"/>
        <w:rPr>
          <w:rFonts w:ascii="Times New Roman" w:hAnsi="Times New Roman" w:cs="Times New Roman"/>
          <w:sz w:val="24"/>
          <w:szCs w:val="24"/>
        </w:rPr>
      </w:pPr>
    </w:p>
    <w:p w14:paraId="6DF53A63" w14:textId="77777777" w:rsidR="00621CF3" w:rsidRPr="00C6319A" w:rsidRDefault="00621CF3" w:rsidP="00621CF3">
      <w:pPr>
        <w:spacing w:after="0"/>
        <w:jc w:val="center"/>
        <w:rPr>
          <w:rFonts w:ascii="Times New Roman" w:hAnsi="Times New Roman" w:cs="Times New Roman"/>
          <w:sz w:val="24"/>
          <w:szCs w:val="24"/>
        </w:rPr>
      </w:pPr>
    </w:p>
    <w:p w14:paraId="73CDE0BF" w14:textId="77777777" w:rsidR="00621CF3" w:rsidRPr="00C6319A" w:rsidRDefault="00621CF3" w:rsidP="00621CF3">
      <w:pPr>
        <w:spacing w:after="0"/>
        <w:jc w:val="center"/>
        <w:rPr>
          <w:rFonts w:ascii="Times New Roman" w:hAnsi="Times New Roman" w:cs="Times New Roman"/>
          <w:sz w:val="24"/>
          <w:szCs w:val="24"/>
        </w:rPr>
      </w:pPr>
    </w:p>
    <w:p w14:paraId="3C33F819" w14:textId="77777777" w:rsidR="00621CF3" w:rsidRPr="00C6319A" w:rsidRDefault="00621CF3" w:rsidP="00621CF3">
      <w:pPr>
        <w:spacing w:after="0"/>
        <w:jc w:val="center"/>
        <w:rPr>
          <w:rFonts w:ascii="Times New Roman" w:hAnsi="Times New Roman" w:cs="Times New Roman"/>
          <w:sz w:val="24"/>
          <w:szCs w:val="24"/>
        </w:rPr>
      </w:pPr>
    </w:p>
    <w:p w14:paraId="30C1A289" w14:textId="77777777" w:rsidR="00621CF3" w:rsidRPr="00C6319A" w:rsidRDefault="00621CF3" w:rsidP="00621CF3">
      <w:pPr>
        <w:spacing w:after="0"/>
        <w:jc w:val="center"/>
        <w:rPr>
          <w:rFonts w:ascii="Times New Roman" w:hAnsi="Times New Roman" w:cs="Times New Roman"/>
          <w:sz w:val="24"/>
          <w:szCs w:val="24"/>
        </w:rPr>
      </w:pPr>
    </w:p>
    <w:p w14:paraId="0F85383D" w14:textId="77777777" w:rsidR="00621CF3" w:rsidRPr="00C6319A" w:rsidRDefault="00621CF3" w:rsidP="00621CF3">
      <w:pPr>
        <w:spacing w:after="0"/>
        <w:jc w:val="center"/>
        <w:rPr>
          <w:rFonts w:ascii="Times New Roman" w:hAnsi="Times New Roman" w:cs="Times New Roman"/>
          <w:sz w:val="24"/>
          <w:szCs w:val="24"/>
        </w:rPr>
      </w:pPr>
    </w:p>
    <w:p w14:paraId="04CB472B" w14:textId="77777777" w:rsidR="00621CF3" w:rsidRPr="00C6319A" w:rsidRDefault="00621CF3" w:rsidP="00621CF3">
      <w:pPr>
        <w:spacing w:after="0"/>
        <w:jc w:val="center"/>
        <w:rPr>
          <w:rFonts w:ascii="Times New Roman" w:hAnsi="Times New Roman" w:cs="Times New Roman"/>
          <w:sz w:val="24"/>
          <w:szCs w:val="24"/>
        </w:rPr>
      </w:pPr>
    </w:p>
    <w:p w14:paraId="0575E948" w14:textId="77777777" w:rsidR="00621CF3" w:rsidRPr="00C6319A" w:rsidRDefault="00621CF3" w:rsidP="00621CF3">
      <w:pPr>
        <w:spacing w:after="0"/>
        <w:jc w:val="center"/>
        <w:rPr>
          <w:rFonts w:ascii="Times New Roman" w:hAnsi="Times New Roman" w:cs="Times New Roman"/>
          <w:sz w:val="24"/>
          <w:szCs w:val="24"/>
        </w:rPr>
      </w:pPr>
    </w:p>
    <w:p w14:paraId="17832C86" w14:textId="77777777" w:rsidR="00621CF3" w:rsidRPr="00C6319A" w:rsidRDefault="00621CF3" w:rsidP="00621CF3">
      <w:pPr>
        <w:spacing w:after="0"/>
        <w:jc w:val="center"/>
        <w:rPr>
          <w:rFonts w:ascii="Times New Roman" w:hAnsi="Times New Roman" w:cs="Times New Roman"/>
          <w:sz w:val="24"/>
          <w:szCs w:val="24"/>
        </w:rPr>
      </w:pPr>
    </w:p>
    <w:p w14:paraId="1E4FE174" w14:textId="77777777" w:rsidR="00621CF3" w:rsidRPr="00C6319A" w:rsidRDefault="00621CF3" w:rsidP="00621CF3">
      <w:pPr>
        <w:spacing w:after="0"/>
        <w:jc w:val="center"/>
        <w:rPr>
          <w:rFonts w:ascii="Times New Roman" w:hAnsi="Times New Roman" w:cs="Times New Roman"/>
          <w:sz w:val="24"/>
          <w:szCs w:val="24"/>
        </w:rPr>
      </w:pPr>
    </w:p>
    <w:p w14:paraId="7988F1A2" w14:textId="77777777" w:rsidR="00621CF3" w:rsidRPr="00C6319A" w:rsidRDefault="00621CF3" w:rsidP="00621CF3">
      <w:pPr>
        <w:spacing w:after="0"/>
        <w:jc w:val="center"/>
        <w:rPr>
          <w:rFonts w:ascii="Times New Roman" w:hAnsi="Times New Roman" w:cs="Times New Roman"/>
          <w:sz w:val="24"/>
          <w:szCs w:val="24"/>
        </w:rPr>
      </w:pPr>
    </w:p>
    <w:p w14:paraId="15AAD388" w14:textId="77777777" w:rsidR="00621CF3" w:rsidRPr="00C6319A" w:rsidRDefault="00621CF3" w:rsidP="00621CF3">
      <w:pPr>
        <w:spacing w:after="0"/>
        <w:jc w:val="center"/>
        <w:rPr>
          <w:rFonts w:ascii="Times New Roman" w:hAnsi="Times New Roman" w:cs="Times New Roman"/>
          <w:sz w:val="24"/>
          <w:szCs w:val="24"/>
        </w:rPr>
      </w:pPr>
    </w:p>
    <w:p w14:paraId="10A21E75" w14:textId="77777777" w:rsidR="00621CF3" w:rsidRPr="00C6319A" w:rsidRDefault="00621CF3" w:rsidP="00C6319A">
      <w:pPr>
        <w:spacing w:after="0"/>
        <w:rPr>
          <w:rFonts w:ascii="Times New Roman" w:hAnsi="Times New Roman" w:cs="Times New Roman"/>
          <w:sz w:val="24"/>
          <w:szCs w:val="24"/>
        </w:rPr>
      </w:pPr>
    </w:p>
    <w:p w14:paraId="36772C9F" w14:textId="77777777" w:rsidR="00621CF3" w:rsidRPr="00C6319A" w:rsidRDefault="00621CF3" w:rsidP="00621CF3">
      <w:pPr>
        <w:pStyle w:val="ListeParagraf"/>
        <w:numPr>
          <w:ilvl w:val="0"/>
          <w:numId w:val="1"/>
        </w:numPr>
        <w:rPr>
          <w:rFonts w:ascii="Times New Roman" w:hAnsi="Times New Roman" w:cs="Times New Roman"/>
          <w:b/>
          <w:sz w:val="24"/>
          <w:szCs w:val="24"/>
        </w:rPr>
      </w:pPr>
      <w:r w:rsidRPr="00C6319A">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2112"/>
        <w:gridCol w:w="1896"/>
        <w:gridCol w:w="5054"/>
      </w:tblGrid>
      <w:tr w:rsidR="001B1348" w:rsidRPr="00C6319A" w14:paraId="1687B3A0" w14:textId="77777777" w:rsidTr="006C7294">
        <w:trPr>
          <w:trHeight w:val="818"/>
        </w:trPr>
        <w:tc>
          <w:tcPr>
            <w:tcW w:w="4058" w:type="dxa"/>
            <w:gridSpan w:val="2"/>
          </w:tcPr>
          <w:p w14:paraId="14F7997E"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PORTFÖYE BAKIŞ</w:t>
            </w:r>
          </w:p>
          <w:p w14:paraId="79C8466B" w14:textId="77777777" w:rsidR="001B1348" w:rsidRPr="00C6319A" w:rsidRDefault="001B1348" w:rsidP="001B1348">
            <w:pPr>
              <w:jc w:val="center"/>
              <w:rPr>
                <w:rFonts w:ascii="Times New Roman" w:hAnsi="Times New Roman" w:cs="Times New Roman"/>
                <w:sz w:val="24"/>
                <w:szCs w:val="24"/>
              </w:rPr>
            </w:pPr>
            <w:r w:rsidRPr="00C6319A">
              <w:rPr>
                <w:rFonts w:ascii="Times New Roman" w:hAnsi="Times New Roman" w:cs="Times New Roman"/>
                <w:sz w:val="24"/>
                <w:szCs w:val="24"/>
              </w:rPr>
              <w:t>Fon’un Halka Arz Tarihi:</w:t>
            </w:r>
          </w:p>
          <w:p w14:paraId="13427A4C" w14:textId="11339579" w:rsidR="001B1348" w:rsidRPr="00C6319A" w:rsidRDefault="00227C69" w:rsidP="001B1348">
            <w:pPr>
              <w:jc w:val="center"/>
              <w:rPr>
                <w:rFonts w:ascii="Times New Roman" w:hAnsi="Times New Roman" w:cs="Times New Roman"/>
                <w:sz w:val="24"/>
                <w:szCs w:val="24"/>
              </w:rPr>
            </w:pPr>
            <w:r w:rsidRPr="00C6319A">
              <w:rPr>
                <w:rFonts w:ascii="Times New Roman" w:hAnsi="Times New Roman" w:cs="Times New Roman"/>
                <w:sz w:val="24"/>
                <w:szCs w:val="24"/>
              </w:rPr>
              <w:t>06 Ağustos</w:t>
            </w:r>
            <w:r w:rsidR="00982937" w:rsidRPr="00C6319A">
              <w:rPr>
                <w:rFonts w:ascii="Times New Roman" w:hAnsi="Times New Roman" w:cs="Times New Roman"/>
                <w:sz w:val="24"/>
                <w:szCs w:val="24"/>
              </w:rPr>
              <w:t xml:space="preserve"> 2020</w:t>
            </w:r>
          </w:p>
        </w:tc>
        <w:tc>
          <w:tcPr>
            <w:tcW w:w="5230" w:type="dxa"/>
          </w:tcPr>
          <w:p w14:paraId="785A8029" w14:textId="77777777" w:rsidR="001B1348" w:rsidRPr="00C6319A" w:rsidRDefault="001B1348" w:rsidP="001B1348">
            <w:pPr>
              <w:jc w:val="center"/>
              <w:rPr>
                <w:rFonts w:ascii="Times New Roman" w:hAnsi="Times New Roman" w:cs="Times New Roman"/>
                <w:b/>
                <w:sz w:val="24"/>
                <w:szCs w:val="24"/>
              </w:rPr>
            </w:pPr>
          </w:p>
          <w:p w14:paraId="42F39AD5"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YATIRIM VE YÖNETİME İLİŞKİN BİLGİLER</w:t>
            </w:r>
          </w:p>
        </w:tc>
      </w:tr>
      <w:tr w:rsidR="001B1348" w:rsidRPr="00C6319A" w14:paraId="52D08609" w14:textId="77777777" w:rsidTr="006C7294">
        <w:trPr>
          <w:trHeight w:val="272"/>
        </w:trPr>
        <w:tc>
          <w:tcPr>
            <w:tcW w:w="4058" w:type="dxa"/>
            <w:gridSpan w:val="2"/>
          </w:tcPr>
          <w:p w14:paraId="6F02B738" w14:textId="258B5CA5" w:rsidR="001B1348" w:rsidRPr="00C6319A" w:rsidRDefault="00065486" w:rsidP="007D75CD">
            <w:pPr>
              <w:jc w:val="center"/>
              <w:rPr>
                <w:rFonts w:ascii="Times New Roman" w:hAnsi="Times New Roman" w:cs="Times New Roman"/>
                <w:b/>
                <w:sz w:val="24"/>
                <w:szCs w:val="24"/>
              </w:rPr>
            </w:pPr>
            <w:r>
              <w:rPr>
                <w:rFonts w:ascii="Times New Roman" w:hAnsi="Times New Roman" w:cs="Times New Roman"/>
                <w:b/>
                <w:sz w:val="24"/>
                <w:szCs w:val="24"/>
              </w:rPr>
              <w:t>30 Haziran 2024</w:t>
            </w:r>
            <w:r w:rsidR="001B1348" w:rsidRPr="00C6319A">
              <w:rPr>
                <w:rFonts w:ascii="Times New Roman" w:hAnsi="Times New Roman" w:cs="Times New Roman"/>
                <w:b/>
                <w:sz w:val="24"/>
                <w:szCs w:val="24"/>
              </w:rPr>
              <w:t xml:space="preserve"> itibar</w:t>
            </w:r>
            <w:r w:rsidR="006F16CC" w:rsidRPr="00C6319A">
              <w:rPr>
                <w:rFonts w:ascii="Times New Roman" w:hAnsi="Times New Roman" w:cs="Times New Roman"/>
                <w:b/>
                <w:sz w:val="24"/>
                <w:szCs w:val="24"/>
              </w:rPr>
              <w:t>iyle</w:t>
            </w:r>
          </w:p>
        </w:tc>
        <w:tc>
          <w:tcPr>
            <w:tcW w:w="5230" w:type="dxa"/>
          </w:tcPr>
          <w:p w14:paraId="563BE517"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Portföy Yöneticileri</w:t>
            </w:r>
          </w:p>
        </w:tc>
      </w:tr>
      <w:tr w:rsidR="001B1348" w:rsidRPr="00C6319A" w14:paraId="1C4CE836" w14:textId="77777777" w:rsidTr="006C7294">
        <w:trPr>
          <w:trHeight w:val="721"/>
        </w:trPr>
        <w:tc>
          <w:tcPr>
            <w:tcW w:w="2162" w:type="dxa"/>
          </w:tcPr>
          <w:p w14:paraId="24B2E994" w14:textId="77777777" w:rsidR="001B1348" w:rsidRPr="00C6319A" w:rsidRDefault="001B1348" w:rsidP="00A05B08">
            <w:pPr>
              <w:rPr>
                <w:rFonts w:ascii="Times New Roman" w:hAnsi="Times New Roman" w:cs="Times New Roman"/>
                <w:sz w:val="24"/>
                <w:szCs w:val="24"/>
              </w:rPr>
            </w:pPr>
            <w:r w:rsidRPr="00C6319A">
              <w:rPr>
                <w:rFonts w:ascii="Times New Roman" w:hAnsi="Times New Roman" w:cs="Times New Roman"/>
                <w:sz w:val="24"/>
                <w:szCs w:val="24"/>
              </w:rPr>
              <w:t>Fon Toplam Değeri</w:t>
            </w:r>
          </w:p>
        </w:tc>
        <w:tc>
          <w:tcPr>
            <w:tcW w:w="1896" w:type="dxa"/>
          </w:tcPr>
          <w:p w14:paraId="7EB7923A" w14:textId="1AD7E67A" w:rsidR="001B1348" w:rsidRPr="00C6319A" w:rsidRDefault="00715855" w:rsidP="00236423">
            <w:pPr>
              <w:jc w:val="right"/>
              <w:rPr>
                <w:rFonts w:ascii="Times New Roman" w:hAnsi="Times New Roman" w:cs="Times New Roman"/>
                <w:sz w:val="24"/>
                <w:szCs w:val="24"/>
              </w:rPr>
            </w:pPr>
            <w:r w:rsidRPr="00715855">
              <w:rPr>
                <w:rFonts w:ascii="Times New Roman" w:hAnsi="Times New Roman" w:cs="Times New Roman"/>
                <w:sz w:val="24"/>
                <w:szCs w:val="24"/>
              </w:rPr>
              <w:t>5.236.934.974,59</w:t>
            </w:r>
            <w:r w:rsidR="00DF0B1E" w:rsidRPr="00DF0B1E">
              <w:rPr>
                <w:rFonts w:ascii="Times New Roman" w:hAnsi="Times New Roman" w:cs="Times New Roman"/>
                <w:sz w:val="24"/>
                <w:szCs w:val="24"/>
              </w:rPr>
              <w:tab/>
            </w:r>
          </w:p>
        </w:tc>
        <w:tc>
          <w:tcPr>
            <w:tcW w:w="5230" w:type="dxa"/>
          </w:tcPr>
          <w:p w14:paraId="635DA57C" w14:textId="0D027886" w:rsidR="0090002B" w:rsidRDefault="00715855"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0D0B8832" w:rsidR="00BF76ED" w:rsidRPr="00C6319A" w:rsidRDefault="00BF76ED" w:rsidP="00CF029B">
            <w:pPr>
              <w:rPr>
                <w:rFonts w:ascii="Times New Roman" w:hAnsi="Times New Roman" w:cs="Times New Roman"/>
                <w:sz w:val="24"/>
                <w:szCs w:val="24"/>
              </w:rPr>
            </w:pPr>
            <w:r>
              <w:rPr>
                <w:rFonts w:ascii="Times New Roman" w:hAnsi="Times New Roman" w:cs="Times New Roman"/>
                <w:sz w:val="24"/>
                <w:szCs w:val="24"/>
              </w:rPr>
              <w:t>Yunus Şahin</w:t>
            </w:r>
          </w:p>
        </w:tc>
      </w:tr>
      <w:tr w:rsidR="001B1348" w:rsidRPr="00C6319A" w14:paraId="49414BC0" w14:textId="77777777" w:rsidTr="006C7294">
        <w:trPr>
          <w:trHeight w:val="546"/>
        </w:trPr>
        <w:tc>
          <w:tcPr>
            <w:tcW w:w="2162" w:type="dxa"/>
          </w:tcPr>
          <w:p w14:paraId="4D752AFF" w14:textId="77777777" w:rsidR="001B1348" w:rsidRPr="00C6319A" w:rsidRDefault="001B1348" w:rsidP="00A05B08">
            <w:pPr>
              <w:rPr>
                <w:rFonts w:ascii="Times New Roman" w:hAnsi="Times New Roman" w:cs="Times New Roman"/>
                <w:sz w:val="24"/>
                <w:szCs w:val="24"/>
              </w:rPr>
            </w:pPr>
            <w:r w:rsidRPr="00C6319A">
              <w:rPr>
                <w:rFonts w:ascii="Times New Roman" w:hAnsi="Times New Roman" w:cs="Times New Roman"/>
                <w:sz w:val="24"/>
                <w:szCs w:val="24"/>
              </w:rPr>
              <w:t>Birim Pay Değeri</w:t>
            </w:r>
          </w:p>
        </w:tc>
        <w:tc>
          <w:tcPr>
            <w:tcW w:w="1896" w:type="dxa"/>
          </w:tcPr>
          <w:p w14:paraId="22FF4823" w14:textId="44E59473" w:rsidR="00237C1F" w:rsidRPr="00C6319A" w:rsidRDefault="00715855" w:rsidP="00236423">
            <w:pPr>
              <w:jc w:val="right"/>
              <w:rPr>
                <w:rFonts w:ascii="Times New Roman" w:hAnsi="Times New Roman" w:cs="Times New Roman"/>
                <w:sz w:val="24"/>
                <w:szCs w:val="24"/>
              </w:rPr>
            </w:pPr>
            <w:r w:rsidRPr="00715855">
              <w:rPr>
                <w:rFonts w:ascii="Times New Roman" w:hAnsi="Times New Roman" w:cs="Times New Roman"/>
                <w:sz w:val="24"/>
                <w:szCs w:val="24"/>
              </w:rPr>
              <w:t>17,142408</w:t>
            </w:r>
          </w:p>
        </w:tc>
        <w:tc>
          <w:tcPr>
            <w:tcW w:w="5230" w:type="dxa"/>
          </w:tcPr>
          <w:p w14:paraId="367F35D7" w14:textId="77777777" w:rsidR="001B1348" w:rsidRPr="00C6319A" w:rsidRDefault="003D66F7" w:rsidP="003D66F7">
            <w:pPr>
              <w:jc w:val="center"/>
              <w:rPr>
                <w:rFonts w:ascii="Times New Roman" w:hAnsi="Times New Roman" w:cs="Times New Roman"/>
                <w:b/>
                <w:sz w:val="24"/>
                <w:szCs w:val="24"/>
              </w:rPr>
            </w:pPr>
            <w:r w:rsidRPr="00C6319A">
              <w:rPr>
                <w:rFonts w:ascii="Times New Roman" w:hAnsi="Times New Roman" w:cs="Times New Roman"/>
                <w:b/>
                <w:sz w:val="24"/>
                <w:szCs w:val="24"/>
              </w:rPr>
              <w:t>Fon’un Yatırım Amacı ve Stratejisi</w:t>
            </w:r>
          </w:p>
        </w:tc>
      </w:tr>
      <w:tr w:rsidR="00E50129" w:rsidRPr="00C6319A" w14:paraId="41F7A0D8" w14:textId="77777777" w:rsidTr="006C7294">
        <w:trPr>
          <w:trHeight w:val="272"/>
        </w:trPr>
        <w:tc>
          <w:tcPr>
            <w:tcW w:w="2162" w:type="dxa"/>
          </w:tcPr>
          <w:p w14:paraId="6903EC00" w14:textId="77777777" w:rsidR="00E50129" w:rsidRPr="00C6319A" w:rsidRDefault="00E50129" w:rsidP="00A05B08">
            <w:pPr>
              <w:rPr>
                <w:rFonts w:ascii="Times New Roman" w:hAnsi="Times New Roman" w:cs="Times New Roman"/>
                <w:sz w:val="24"/>
                <w:szCs w:val="24"/>
              </w:rPr>
            </w:pPr>
            <w:r w:rsidRPr="00C6319A">
              <w:rPr>
                <w:rFonts w:ascii="Times New Roman" w:hAnsi="Times New Roman" w:cs="Times New Roman"/>
                <w:sz w:val="24"/>
                <w:szCs w:val="24"/>
              </w:rPr>
              <w:t>Yatırımcı Sayısı</w:t>
            </w:r>
          </w:p>
        </w:tc>
        <w:tc>
          <w:tcPr>
            <w:tcW w:w="1896" w:type="dxa"/>
          </w:tcPr>
          <w:p w14:paraId="5681A160" w14:textId="5143D456" w:rsidR="00E50129" w:rsidRPr="00C6319A" w:rsidRDefault="00715855" w:rsidP="003B245E">
            <w:pPr>
              <w:jc w:val="right"/>
              <w:rPr>
                <w:rFonts w:ascii="Times New Roman" w:hAnsi="Times New Roman" w:cs="Times New Roman"/>
                <w:sz w:val="24"/>
                <w:szCs w:val="24"/>
              </w:rPr>
            </w:pPr>
            <w:r>
              <w:rPr>
                <w:rFonts w:ascii="Times New Roman" w:hAnsi="Times New Roman" w:cs="Times New Roman"/>
                <w:sz w:val="24"/>
                <w:szCs w:val="24"/>
              </w:rPr>
              <w:t>43.974</w:t>
            </w:r>
          </w:p>
        </w:tc>
        <w:tc>
          <w:tcPr>
            <w:tcW w:w="5230" w:type="dxa"/>
            <w:vMerge w:val="restart"/>
          </w:tcPr>
          <w:p w14:paraId="4618D6DC" w14:textId="35DC7EAD" w:rsidR="00E50129" w:rsidRPr="00C6319A" w:rsidRDefault="00771AD5" w:rsidP="00E50129">
            <w:pPr>
              <w:jc w:val="both"/>
              <w:rPr>
                <w:rFonts w:ascii="Times New Roman" w:hAnsi="Times New Roman" w:cs="Times New Roman"/>
              </w:rPr>
            </w:pPr>
            <w:r w:rsidRPr="00C6319A">
              <w:rPr>
                <w:rFonts w:ascii="Times New Roman" w:hAnsi="Times New Roman" w:cs="Times New Roman"/>
              </w:rPr>
              <w:t>Fon toplam değerinin en az %80’i devamlı olarak ihraççı paylarına ve ihraççı paylarından oluşan endeksleri takip etmek üzere kurulan borsa yatırım fonu katılma paylarına yatırılır. Fon’un hisse senedi yoğun fon olması nedeniyle Fon portföy değerinin en az %80’i devamlı olarak menkul kıymet yatırım ortaklıkları payları hariç olmak üzere BIST’te işlem gören ihraççı payları, ihraççı paylarına ve ihraççı payı endekslerine dayalı olarak yapılan vadeli işlem sözleşmelerinin nakit teminatları, ihraççı paylarına ve pay endekslerine dayalı opsiyon sözleşmelerinin primleri, borsada işlem gören ihraççı paylarına ve pay endekslerine dayalı aracı kuruluş varantları ile en az %80’i devamlı olarak menkul kıymet yatırım ortaklıkları payları hariç  olmak üzere BIST’te işlem gören ihraççı paylarından oluşan endeksleri takip etmek üzere kurulan borsa yatırım fonu katılma paylarına yatırılır.</w:t>
            </w:r>
          </w:p>
        </w:tc>
      </w:tr>
      <w:tr w:rsidR="00E50129" w:rsidRPr="00C6319A" w14:paraId="1F67F208" w14:textId="77777777" w:rsidTr="006C7294">
        <w:trPr>
          <w:trHeight w:val="546"/>
        </w:trPr>
        <w:tc>
          <w:tcPr>
            <w:tcW w:w="2162" w:type="dxa"/>
          </w:tcPr>
          <w:p w14:paraId="53E26006" w14:textId="77777777" w:rsidR="00E50129" w:rsidRPr="00C6319A" w:rsidRDefault="00E50129" w:rsidP="00A05B08">
            <w:pPr>
              <w:rPr>
                <w:rFonts w:ascii="Times New Roman" w:hAnsi="Times New Roman" w:cs="Times New Roman"/>
                <w:sz w:val="24"/>
                <w:szCs w:val="24"/>
              </w:rPr>
            </w:pPr>
            <w:r w:rsidRPr="00C6319A">
              <w:rPr>
                <w:rFonts w:ascii="Times New Roman" w:hAnsi="Times New Roman" w:cs="Times New Roman"/>
                <w:sz w:val="24"/>
                <w:szCs w:val="24"/>
              </w:rPr>
              <w:t>Tedavül Oranı (%)</w:t>
            </w:r>
          </w:p>
        </w:tc>
        <w:tc>
          <w:tcPr>
            <w:tcW w:w="1896" w:type="dxa"/>
          </w:tcPr>
          <w:p w14:paraId="2E8AB30D" w14:textId="464F575F" w:rsidR="00E50129" w:rsidRPr="00C6319A" w:rsidRDefault="00DF0B1E" w:rsidP="00236423">
            <w:pPr>
              <w:jc w:val="right"/>
              <w:rPr>
                <w:rFonts w:ascii="Times New Roman" w:hAnsi="Times New Roman" w:cs="Times New Roman"/>
                <w:sz w:val="24"/>
                <w:szCs w:val="24"/>
              </w:rPr>
            </w:pPr>
            <w:r>
              <w:rPr>
                <w:rFonts w:ascii="Times New Roman" w:hAnsi="Times New Roman" w:cs="Times New Roman"/>
                <w:sz w:val="24"/>
                <w:szCs w:val="24"/>
              </w:rPr>
              <w:t>10,</w:t>
            </w:r>
            <w:r w:rsidR="0077126C">
              <w:rPr>
                <w:rFonts w:ascii="Times New Roman" w:hAnsi="Times New Roman" w:cs="Times New Roman"/>
                <w:sz w:val="24"/>
                <w:szCs w:val="24"/>
              </w:rPr>
              <w:t>53</w:t>
            </w:r>
          </w:p>
        </w:tc>
        <w:tc>
          <w:tcPr>
            <w:tcW w:w="5230" w:type="dxa"/>
            <w:vMerge/>
          </w:tcPr>
          <w:p w14:paraId="1A03D0A4" w14:textId="77777777" w:rsidR="00E50129" w:rsidRPr="00C6319A" w:rsidRDefault="00E50129" w:rsidP="00E50129">
            <w:pPr>
              <w:jc w:val="both"/>
              <w:rPr>
                <w:rFonts w:ascii="Times New Roman" w:hAnsi="Times New Roman" w:cs="Times New Roman"/>
                <w:sz w:val="24"/>
                <w:szCs w:val="24"/>
              </w:rPr>
            </w:pPr>
          </w:p>
        </w:tc>
      </w:tr>
      <w:tr w:rsidR="00E50129" w:rsidRPr="00C6319A" w14:paraId="1F1227F2" w14:textId="77777777" w:rsidTr="006C7294">
        <w:trPr>
          <w:trHeight w:val="272"/>
        </w:trPr>
        <w:tc>
          <w:tcPr>
            <w:tcW w:w="4058" w:type="dxa"/>
            <w:gridSpan w:val="2"/>
          </w:tcPr>
          <w:p w14:paraId="71BCD733" w14:textId="77777777" w:rsidR="00E50129" w:rsidRPr="00C6319A" w:rsidRDefault="00E50129" w:rsidP="003D66F7">
            <w:pPr>
              <w:jc w:val="center"/>
              <w:rPr>
                <w:rFonts w:ascii="Times New Roman" w:hAnsi="Times New Roman" w:cs="Times New Roman"/>
                <w:b/>
                <w:sz w:val="24"/>
                <w:szCs w:val="24"/>
              </w:rPr>
            </w:pPr>
            <w:r w:rsidRPr="00C6319A">
              <w:rPr>
                <w:rFonts w:ascii="Times New Roman" w:hAnsi="Times New Roman" w:cs="Times New Roman"/>
                <w:b/>
                <w:sz w:val="24"/>
                <w:szCs w:val="24"/>
              </w:rPr>
              <w:t>Portföy Dağılımı (%)</w:t>
            </w:r>
          </w:p>
        </w:tc>
        <w:tc>
          <w:tcPr>
            <w:tcW w:w="5230" w:type="dxa"/>
            <w:vMerge/>
          </w:tcPr>
          <w:p w14:paraId="7498A580" w14:textId="77777777" w:rsidR="00E50129" w:rsidRPr="00C6319A" w:rsidRDefault="00E50129" w:rsidP="00E50129">
            <w:pPr>
              <w:jc w:val="both"/>
              <w:rPr>
                <w:rFonts w:ascii="Times New Roman" w:hAnsi="Times New Roman" w:cs="Times New Roman"/>
                <w:sz w:val="24"/>
                <w:szCs w:val="24"/>
              </w:rPr>
            </w:pPr>
          </w:p>
        </w:tc>
      </w:tr>
      <w:tr w:rsidR="00F70D62" w:rsidRPr="00C6319A" w14:paraId="55CA7771" w14:textId="77777777" w:rsidTr="006C7294">
        <w:trPr>
          <w:trHeight w:val="261"/>
        </w:trPr>
        <w:tc>
          <w:tcPr>
            <w:tcW w:w="2162" w:type="dxa"/>
          </w:tcPr>
          <w:p w14:paraId="16933FEA" w14:textId="77777777" w:rsidR="00F70D62" w:rsidRPr="00C6319A" w:rsidRDefault="00F70D62" w:rsidP="00A05B08">
            <w:pPr>
              <w:rPr>
                <w:rFonts w:ascii="Times New Roman" w:hAnsi="Times New Roman" w:cs="Times New Roman"/>
                <w:sz w:val="24"/>
                <w:szCs w:val="24"/>
              </w:rPr>
            </w:pPr>
            <w:r w:rsidRPr="00C6319A">
              <w:rPr>
                <w:rFonts w:ascii="Times New Roman" w:hAnsi="Times New Roman" w:cs="Times New Roman"/>
                <w:sz w:val="24"/>
                <w:szCs w:val="24"/>
              </w:rPr>
              <w:t>Paylar</w:t>
            </w:r>
          </w:p>
        </w:tc>
        <w:tc>
          <w:tcPr>
            <w:tcW w:w="1896" w:type="dxa"/>
          </w:tcPr>
          <w:p w14:paraId="2A07B50C" w14:textId="63FD7BE9" w:rsidR="00F70D62" w:rsidRPr="00C6319A" w:rsidRDefault="002D6481" w:rsidP="006A0773">
            <w:pPr>
              <w:jc w:val="right"/>
              <w:rPr>
                <w:rFonts w:ascii="Times New Roman" w:hAnsi="Times New Roman" w:cs="Times New Roman"/>
                <w:sz w:val="24"/>
                <w:szCs w:val="24"/>
              </w:rPr>
            </w:pPr>
            <w:r>
              <w:rPr>
                <w:rFonts w:ascii="Times New Roman" w:hAnsi="Times New Roman" w:cs="Times New Roman"/>
                <w:sz w:val="24"/>
                <w:szCs w:val="24"/>
              </w:rPr>
              <w:t>9</w:t>
            </w:r>
            <w:r w:rsidR="003B50E1">
              <w:rPr>
                <w:rFonts w:ascii="Times New Roman" w:hAnsi="Times New Roman" w:cs="Times New Roman"/>
                <w:sz w:val="24"/>
                <w:szCs w:val="24"/>
              </w:rPr>
              <w:t>7,72</w:t>
            </w:r>
          </w:p>
        </w:tc>
        <w:tc>
          <w:tcPr>
            <w:tcW w:w="5230" w:type="dxa"/>
            <w:vMerge/>
          </w:tcPr>
          <w:p w14:paraId="04B95A51" w14:textId="77777777" w:rsidR="00F70D62" w:rsidRPr="00C6319A" w:rsidRDefault="00F70D62" w:rsidP="00A05B08">
            <w:pPr>
              <w:rPr>
                <w:rFonts w:ascii="Times New Roman" w:hAnsi="Times New Roman" w:cs="Times New Roman"/>
                <w:sz w:val="24"/>
                <w:szCs w:val="24"/>
              </w:rPr>
            </w:pPr>
          </w:p>
        </w:tc>
      </w:tr>
      <w:tr w:rsidR="002D6481" w:rsidRPr="00C6319A" w14:paraId="547E05D3" w14:textId="77777777" w:rsidTr="006C7294">
        <w:trPr>
          <w:trHeight w:val="261"/>
        </w:trPr>
        <w:tc>
          <w:tcPr>
            <w:tcW w:w="2162" w:type="dxa"/>
          </w:tcPr>
          <w:p w14:paraId="0F4AE88C" w14:textId="3CDC6A65" w:rsidR="002D6481" w:rsidRPr="00C6319A" w:rsidRDefault="002D6481" w:rsidP="00A05B08">
            <w:pPr>
              <w:rPr>
                <w:rFonts w:ascii="Times New Roman" w:hAnsi="Times New Roman" w:cs="Times New Roman"/>
                <w:sz w:val="24"/>
                <w:szCs w:val="24"/>
              </w:rPr>
            </w:pPr>
            <w:r>
              <w:rPr>
                <w:rFonts w:ascii="Times New Roman" w:hAnsi="Times New Roman" w:cs="Times New Roman"/>
                <w:sz w:val="24"/>
                <w:szCs w:val="24"/>
              </w:rPr>
              <w:t>Yatırım Fonu</w:t>
            </w:r>
          </w:p>
        </w:tc>
        <w:tc>
          <w:tcPr>
            <w:tcW w:w="1896" w:type="dxa"/>
          </w:tcPr>
          <w:p w14:paraId="47C7FEF4" w14:textId="67797F4C" w:rsidR="002D6481" w:rsidRDefault="003B50E1" w:rsidP="006A0773">
            <w:pPr>
              <w:jc w:val="right"/>
              <w:rPr>
                <w:rFonts w:ascii="Times New Roman" w:hAnsi="Times New Roman" w:cs="Times New Roman"/>
                <w:sz w:val="24"/>
                <w:szCs w:val="24"/>
              </w:rPr>
            </w:pPr>
            <w:r>
              <w:rPr>
                <w:rFonts w:ascii="Times New Roman" w:hAnsi="Times New Roman" w:cs="Times New Roman"/>
                <w:sz w:val="24"/>
                <w:szCs w:val="24"/>
              </w:rPr>
              <w:t>2,28</w:t>
            </w:r>
          </w:p>
        </w:tc>
        <w:tc>
          <w:tcPr>
            <w:tcW w:w="5230" w:type="dxa"/>
            <w:vMerge/>
          </w:tcPr>
          <w:p w14:paraId="5E8CA40A" w14:textId="77777777" w:rsidR="002D6481" w:rsidRPr="00C6319A" w:rsidRDefault="002D6481" w:rsidP="00A05B08">
            <w:pPr>
              <w:rPr>
                <w:rFonts w:ascii="Times New Roman" w:hAnsi="Times New Roman" w:cs="Times New Roman"/>
                <w:sz w:val="24"/>
                <w:szCs w:val="24"/>
              </w:rPr>
            </w:pPr>
          </w:p>
        </w:tc>
      </w:tr>
      <w:tr w:rsidR="00E50129" w:rsidRPr="00C6319A" w14:paraId="2C140DCB" w14:textId="77777777" w:rsidTr="006C7294">
        <w:trPr>
          <w:trHeight w:val="891"/>
        </w:trPr>
        <w:tc>
          <w:tcPr>
            <w:tcW w:w="2162" w:type="dxa"/>
            <w:tcBorders>
              <w:top w:val="nil"/>
              <w:left w:val="single" w:sz="4" w:space="0" w:color="auto"/>
              <w:bottom w:val="single" w:sz="4" w:space="0" w:color="auto"/>
              <w:right w:val="nil"/>
            </w:tcBorders>
          </w:tcPr>
          <w:p w14:paraId="70218834" w14:textId="1FEED5C2" w:rsidR="00E50129" w:rsidRPr="00C6319A" w:rsidRDefault="00E50129" w:rsidP="00227C69">
            <w:pPr>
              <w:rPr>
                <w:rFonts w:ascii="Times New Roman" w:hAnsi="Times New Roman" w:cs="Times New Roman"/>
                <w:sz w:val="24"/>
                <w:szCs w:val="24"/>
              </w:rPr>
            </w:pPr>
          </w:p>
        </w:tc>
        <w:tc>
          <w:tcPr>
            <w:tcW w:w="1896" w:type="dxa"/>
            <w:tcBorders>
              <w:top w:val="nil"/>
              <w:left w:val="nil"/>
              <w:bottom w:val="single" w:sz="4" w:space="0" w:color="auto"/>
              <w:right w:val="single" w:sz="4" w:space="0" w:color="auto"/>
            </w:tcBorders>
          </w:tcPr>
          <w:p w14:paraId="51732CE0" w14:textId="77777777" w:rsidR="00E50129" w:rsidRPr="00C6319A" w:rsidRDefault="00E50129" w:rsidP="00E50129">
            <w:pPr>
              <w:jc w:val="right"/>
              <w:rPr>
                <w:rFonts w:ascii="Times New Roman" w:hAnsi="Times New Roman" w:cs="Times New Roman"/>
                <w:sz w:val="24"/>
                <w:szCs w:val="24"/>
              </w:rPr>
            </w:pPr>
          </w:p>
        </w:tc>
        <w:tc>
          <w:tcPr>
            <w:tcW w:w="5230" w:type="dxa"/>
            <w:vMerge/>
            <w:tcBorders>
              <w:left w:val="single" w:sz="4" w:space="0" w:color="auto"/>
            </w:tcBorders>
          </w:tcPr>
          <w:p w14:paraId="4A8D5C20" w14:textId="77777777" w:rsidR="00E50129" w:rsidRPr="00C6319A" w:rsidRDefault="00E50129" w:rsidP="00A05B08">
            <w:pPr>
              <w:rPr>
                <w:rFonts w:ascii="Times New Roman" w:hAnsi="Times New Roman" w:cs="Times New Roman"/>
                <w:sz w:val="24"/>
                <w:szCs w:val="24"/>
              </w:rPr>
            </w:pPr>
          </w:p>
        </w:tc>
      </w:tr>
      <w:tr w:rsidR="00D52CC0" w:rsidRPr="00C6319A" w14:paraId="01C9D9AB" w14:textId="77777777" w:rsidTr="001C29A7">
        <w:trPr>
          <w:trHeight w:val="319"/>
        </w:trPr>
        <w:tc>
          <w:tcPr>
            <w:tcW w:w="9288" w:type="dxa"/>
            <w:gridSpan w:val="3"/>
          </w:tcPr>
          <w:p w14:paraId="1861FA3E" w14:textId="25EDFFF1" w:rsidR="00D52CC0" w:rsidRPr="00C6319A" w:rsidRDefault="00D52CC0" w:rsidP="00D52CC0">
            <w:pPr>
              <w:jc w:val="center"/>
              <w:rPr>
                <w:rFonts w:ascii="Times New Roman" w:hAnsi="Times New Roman" w:cs="Times New Roman"/>
                <w:sz w:val="24"/>
                <w:szCs w:val="24"/>
              </w:rPr>
            </w:pPr>
            <w:r w:rsidRPr="00C6319A">
              <w:rPr>
                <w:rFonts w:ascii="Times New Roman" w:hAnsi="Times New Roman" w:cs="Times New Roman"/>
                <w:sz w:val="24"/>
                <w:szCs w:val="24"/>
              </w:rPr>
              <w:t xml:space="preserve">En Az Alınabilir Pay </w:t>
            </w:r>
            <w:r w:rsidR="00227C69" w:rsidRPr="00C6319A">
              <w:rPr>
                <w:rFonts w:ascii="Times New Roman" w:hAnsi="Times New Roman" w:cs="Times New Roman"/>
                <w:sz w:val="24"/>
                <w:szCs w:val="24"/>
              </w:rPr>
              <w:t>Adedi:</w:t>
            </w:r>
            <w:r w:rsidRPr="00C6319A">
              <w:rPr>
                <w:rFonts w:ascii="Times New Roman" w:hAnsi="Times New Roman" w:cs="Times New Roman"/>
                <w:sz w:val="24"/>
                <w:szCs w:val="24"/>
              </w:rPr>
              <w:t xml:space="preserve"> 1 Adet</w:t>
            </w:r>
          </w:p>
        </w:tc>
      </w:tr>
    </w:tbl>
    <w:p w14:paraId="7D5438C5" w14:textId="6E5CD787" w:rsidR="00621CF3" w:rsidRPr="00C6319A" w:rsidRDefault="00621CF3" w:rsidP="00621CF3">
      <w:pPr>
        <w:spacing w:after="0"/>
        <w:jc w:val="center"/>
        <w:rPr>
          <w:rFonts w:ascii="Times New Roman" w:hAnsi="Times New Roman" w:cs="Times New Roman"/>
          <w:sz w:val="24"/>
          <w:szCs w:val="24"/>
        </w:rPr>
      </w:pPr>
    </w:p>
    <w:p w14:paraId="23461D99" w14:textId="77777777" w:rsidR="00973E09" w:rsidRPr="00C6319A" w:rsidRDefault="00973E09" w:rsidP="00973E09">
      <w:pPr>
        <w:pStyle w:val="ListeParagraf"/>
        <w:numPr>
          <w:ilvl w:val="0"/>
          <w:numId w:val="1"/>
        </w:numPr>
        <w:rPr>
          <w:rFonts w:ascii="Times New Roman" w:hAnsi="Times New Roman" w:cs="Times New Roman"/>
          <w:b/>
          <w:sz w:val="24"/>
          <w:szCs w:val="24"/>
        </w:rPr>
      </w:pPr>
      <w:r w:rsidRPr="00C6319A">
        <w:rPr>
          <w:rFonts w:ascii="Times New Roman" w:hAnsi="Times New Roman" w:cs="Times New Roman"/>
          <w:b/>
          <w:sz w:val="24"/>
          <w:szCs w:val="24"/>
        </w:rPr>
        <w:t>PERFORMANS BİLGİSİ</w:t>
      </w:r>
    </w:p>
    <w:tbl>
      <w:tblPr>
        <w:tblW w:w="9212" w:type="dxa"/>
        <w:tblInd w:w="75" w:type="dxa"/>
        <w:tblCellMar>
          <w:left w:w="70" w:type="dxa"/>
          <w:right w:w="70" w:type="dxa"/>
        </w:tblCellMar>
        <w:tblLook w:val="04A0" w:firstRow="1" w:lastRow="0" w:firstColumn="1" w:lastColumn="0" w:noHBand="0" w:noVBand="1"/>
      </w:tblPr>
      <w:tblGrid>
        <w:gridCol w:w="1046"/>
        <w:gridCol w:w="902"/>
        <w:gridCol w:w="1210"/>
        <w:gridCol w:w="1189"/>
        <w:gridCol w:w="1347"/>
        <w:gridCol w:w="1433"/>
        <w:gridCol w:w="781"/>
        <w:gridCol w:w="1400"/>
      </w:tblGrid>
      <w:tr w:rsidR="003B1C77" w:rsidRPr="003B1C77" w14:paraId="73050247" w14:textId="77777777" w:rsidTr="003B1C77">
        <w:trPr>
          <w:trHeight w:val="1405"/>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A9150" w14:textId="77777777" w:rsidR="003B1C77" w:rsidRPr="003B1C77" w:rsidRDefault="003B1C77" w:rsidP="003B1C77">
            <w:pPr>
              <w:spacing w:after="0" w:line="240" w:lineRule="auto"/>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Yıllar</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53C58FBD" w14:textId="77777777" w:rsidR="003B1C77" w:rsidRPr="003B1C77" w:rsidRDefault="003B1C77" w:rsidP="003B1C77">
            <w:pPr>
              <w:spacing w:after="0" w:line="240" w:lineRule="auto"/>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Toplam Getiri (%)</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5D283228" w14:textId="77777777" w:rsidR="003B1C77" w:rsidRPr="003B1C77" w:rsidRDefault="003B1C77" w:rsidP="003B1C77">
            <w:pPr>
              <w:spacing w:after="0" w:line="240" w:lineRule="auto"/>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Karşılaştırma Ölçütünün Getirisi/Eşik Değer (%)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A1902F8" w14:textId="77777777" w:rsidR="003B1C77" w:rsidRPr="003B1C77" w:rsidRDefault="003B1C77" w:rsidP="003B1C77">
            <w:pPr>
              <w:spacing w:after="0" w:line="240" w:lineRule="auto"/>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Üfe Enflasyon Oranı (%)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5C93C726" w14:textId="77777777" w:rsidR="003B1C77" w:rsidRPr="003B1C77" w:rsidRDefault="003B1C77" w:rsidP="003B1C77">
            <w:pPr>
              <w:spacing w:after="0" w:line="240" w:lineRule="auto"/>
              <w:jc w:val="center"/>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Portföyün Zaman İçinde Standart Sapması (%)</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C4BDB97" w14:textId="77777777" w:rsidR="003B1C77" w:rsidRPr="003B1C77" w:rsidRDefault="003B1C77" w:rsidP="003B1C77">
            <w:pPr>
              <w:spacing w:after="0" w:line="240" w:lineRule="auto"/>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Karşılaştırma Ölçütünün Standart Sapması (%)</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75340113" w14:textId="77777777" w:rsidR="003B1C77" w:rsidRPr="003B1C77" w:rsidRDefault="003B1C77" w:rsidP="003B1C77">
            <w:pPr>
              <w:spacing w:after="0" w:line="240" w:lineRule="auto"/>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Bilgi Rasyosu</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71A3235" w14:textId="77777777" w:rsidR="003B1C77" w:rsidRPr="003B1C77" w:rsidRDefault="003B1C77" w:rsidP="003B1C77">
            <w:pPr>
              <w:spacing w:after="0" w:line="240" w:lineRule="auto"/>
              <w:jc w:val="center"/>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Sunuma Dahil Dönem Sonu Portföyün Toplam Değer</w:t>
            </w:r>
          </w:p>
        </w:tc>
      </w:tr>
      <w:tr w:rsidR="003B1C77" w:rsidRPr="003B1C77" w14:paraId="3769FE7D" w14:textId="77777777" w:rsidTr="003B1C77">
        <w:trPr>
          <w:trHeight w:val="275"/>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223554A2" w14:textId="77777777" w:rsidR="003B1C77" w:rsidRPr="003B1C77" w:rsidRDefault="003B1C77" w:rsidP="003B1C77">
            <w:pPr>
              <w:spacing w:after="0" w:line="240" w:lineRule="auto"/>
              <w:jc w:val="center"/>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2020</w:t>
            </w:r>
          </w:p>
        </w:tc>
        <w:tc>
          <w:tcPr>
            <w:tcW w:w="902" w:type="dxa"/>
            <w:tcBorders>
              <w:top w:val="nil"/>
              <w:left w:val="nil"/>
              <w:bottom w:val="single" w:sz="4" w:space="0" w:color="auto"/>
              <w:right w:val="single" w:sz="4" w:space="0" w:color="auto"/>
            </w:tcBorders>
            <w:shd w:val="clear" w:color="auto" w:fill="auto"/>
            <w:noWrap/>
            <w:vAlign w:val="center"/>
            <w:hideMark/>
          </w:tcPr>
          <w:p w14:paraId="72FC819F"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36,96</w:t>
            </w:r>
          </w:p>
        </w:tc>
        <w:tc>
          <w:tcPr>
            <w:tcW w:w="1175" w:type="dxa"/>
            <w:tcBorders>
              <w:top w:val="nil"/>
              <w:left w:val="nil"/>
              <w:bottom w:val="single" w:sz="4" w:space="0" w:color="auto"/>
              <w:right w:val="single" w:sz="4" w:space="0" w:color="auto"/>
            </w:tcBorders>
            <w:shd w:val="clear" w:color="auto" w:fill="auto"/>
            <w:noWrap/>
            <w:vAlign w:val="center"/>
            <w:hideMark/>
          </w:tcPr>
          <w:p w14:paraId="5C05A87F"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4,51</w:t>
            </w:r>
          </w:p>
        </w:tc>
        <w:tc>
          <w:tcPr>
            <w:tcW w:w="1189" w:type="dxa"/>
            <w:tcBorders>
              <w:top w:val="nil"/>
              <w:left w:val="nil"/>
              <w:bottom w:val="single" w:sz="4" w:space="0" w:color="auto"/>
              <w:right w:val="single" w:sz="4" w:space="0" w:color="auto"/>
            </w:tcBorders>
            <w:shd w:val="clear" w:color="auto" w:fill="auto"/>
            <w:noWrap/>
            <w:vAlign w:val="center"/>
            <w:hideMark/>
          </w:tcPr>
          <w:p w14:paraId="601DF42A"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15,90</w:t>
            </w:r>
          </w:p>
        </w:tc>
        <w:tc>
          <w:tcPr>
            <w:tcW w:w="1347" w:type="dxa"/>
            <w:tcBorders>
              <w:top w:val="nil"/>
              <w:left w:val="nil"/>
              <w:bottom w:val="single" w:sz="4" w:space="0" w:color="auto"/>
              <w:right w:val="single" w:sz="4" w:space="0" w:color="auto"/>
            </w:tcBorders>
            <w:shd w:val="clear" w:color="auto" w:fill="auto"/>
            <w:noWrap/>
            <w:vAlign w:val="center"/>
            <w:hideMark/>
          </w:tcPr>
          <w:p w14:paraId="782CDBE7"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1,31</w:t>
            </w:r>
          </w:p>
        </w:tc>
        <w:tc>
          <w:tcPr>
            <w:tcW w:w="1433" w:type="dxa"/>
            <w:tcBorders>
              <w:top w:val="nil"/>
              <w:left w:val="nil"/>
              <w:bottom w:val="single" w:sz="4" w:space="0" w:color="auto"/>
              <w:right w:val="single" w:sz="4" w:space="0" w:color="auto"/>
            </w:tcBorders>
            <w:shd w:val="clear" w:color="auto" w:fill="auto"/>
            <w:noWrap/>
            <w:vAlign w:val="center"/>
            <w:hideMark/>
          </w:tcPr>
          <w:p w14:paraId="6BFD154A"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0,028</w:t>
            </w:r>
          </w:p>
        </w:tc>
        <w:tc>
          <w:tcPr>
            <w:tcW w:w="759" w:type="dxa"/>
            <w:tcBorders>
              <w:top w:val="nil"/>
              <w:left w:val="nil"/>
              <w:bottom w:val="single" w:sz="4" w:space="0" w:color="auto"/>
              <w:right w:val="single" w:sz="4" w:space="0" w:color="auto"/>
            </w:tcBorders>
            <w:shd w:val="clear" w:color="auto" w:fill="auto"/>
            <w:noWrap/>
            <w:vAlign w:val="center"/>
            <w:hideMark/>
          </w:tcPr>
          <w:p w14:paraId="6726B922"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0,27</w:t>
            </w:r>
          </w:p>
        </w:tc>
        <w:tc>
          <w:tcPr>
            <w:tcW w:w="1361" w:type="dxa"/>
            <w:tcBorders>
              <w:top w:val="nil"/>
              <w:left w:val="nil"/>
              <w:bottom w:val="single" w:sz="4" w:space="0" w:color="auto"/>
              <w:right w:val="single" w:sz="4" w:space="0" w:color="auto"/>
            </w:tcBorders>
            <w:shd w:val="clear" w:color="auto" w:fill="auto"/>
            <w:noWrap/>
            <w:vAlign w:val="center"/>
            <w:hideMark/>
          </w:tcPr>
          <w:p w14:paraId="539933ED"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372.054.497,71</w:t>
            </w:r>
          </w:p>
        </w:tc>
      </w:tr>
      <w:tr w:rsidR="003B1C77" w:rsidRPr="003B1C77" w14:paraId="5E442B06" w14:textId="77777777" w:rsidTr="003B1C77">
        <w:trPr>
          <w:trHeight w:val="275"/>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7854D0C2" w14:textId="77777777" w:rsidR="003B1C77" w:rsidRPr="003B1C77" w:rsidRDefault="003B1C77" w:rsidP="003B1C77">
            <w:pPr>
              <w:spacing w:after="0" w:line="240" w:lineRule="auto"/>
              <w:jc w:val="center"/>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2021</w:t>
            </w:r>
          </w:p>
        </w:tc>
        <w:tc>
          <w:tcPr>
            <w:tcW w:w="902" w:type="dxa"/>
            <w:tcBorders>
              <w:top w:val="nil"/>
              <w:left w:val="nil"/>
              <w:bottom w:val="single" w:sz="4" w:space="0" w:color="auto"/>
              <w:right w:val="single" w:sz="4" w:space="0" w:color="auto"/>
            </w:tcBorders>
            <w:shd w:val="clear" w:color="auto" w:fill="auto"/>
            <w:noWrap/>
            <w:vAlign w:val="center"/>
            <w:hideMark/>
          </w:tcPr>
          <w:p w14:paraId="68D98A06"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48,25</w:t>
            </w:r>
          </w:p>
        </w:tc>
        <w:tc>
          <w:tcPr>
            <w:tcW w:w="1175" w:type="dxa"/>
            <w:tcBorders>
              <w:top w:val="nil"/>
              <w:left w:val="nil"/>
              <w:bottom w:val="single" w:sz="4" w:space="0" w:color="auto"/>
              <w:right w:val="single" w:sz="4" w:space="0" w:color="auto"/>
            </w:tcBorders>
            <w:shd w:val="clear" w:color="auto" w:fill="auto"/>
            <w:noWrap/>
            <w:vAlign w:val="center"/>
            <w:hideMark/>
          </w:tcPr>
          <w:p w14:paraId="7C910994"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8,32</w:t>
            </w:r>
          </w:p>
        </w:tc>
        <w:tc>
          <w:tcPr>
            <w:tcW w:w="1189" w:type="dxa"/>
            <w:tcBorders>
              <w:top w:val="nil"/>
              <w:left w:val="nil"/>
              <w:bottom w:val="single" w:sz="4" w:space="0" w:color="auto"/>
              <w:right w:val="single" w:sz="4" w:space="0" w:color="auto"/>
            </w:tcBorders>
            <w:shd w:val="clear" w:color="auto" w:fill="auto"/>
            <w:noWrap/>
            <w:vAlign w:val="center"/>
            <w:hideMark/>
          </w:tcPr>
          <w:p w14:paraId="63296734"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79,89</w:t>
            </w:r>
          </w:p>
        </w:tc>
        <w:tc>
          <w:tcPr>
            <w:tcW w:w="1347" w:type="dxa"/>
            <w:tcBorders>
              <w:top w:val="nil"/>
              <w:left w:val="nil"/>
              <w:bottom w:val="single" w:sz="4" w:space="0" w:color="auto"/>
              <w:right w:val="single" w:sz="4" w:space="0" w:color="auto"/>
            </w:tcBorders>
            <w:shd w:val="clear" w:color="auto" w:fill="auto"/>
            <w:noWrap/>
            <w:vAlign w:val="center"/>
            <w:hideMark/>
          </w:tcPr>
          <w:p w14:paraId="46691A38"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1,44</w:t>
            </w:r>
          </w:p>
        </w:tc>
        <w:tc>
          <w:tcPr>
            <w:tcW w:w="1433" w:type="dxa"/>
            <w:tcBorders>
              <w:top w:val="nil"/>
              <w:left w:val="nil"/>
              <w:bottom w:val="single" w:sz="4" w:space="0" w:color="auto"/>
              <w:right w:val="single" w:sz="4" w:space="0" w:color="auto"/>
            </w:tcBorders>
            <w:shd w:val="clear" w:color="auto" w:fill="auto"/>
            <w:noWrap/>
            <w:vAlign w:val="center"/>
            <w:hideMark/>
          </w:tcPr>
          <w:p w14:paraId="491FB880"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1,56</w:t>
            </w:r>
          </w:p>
        </w:tc>
        <w:tc>
          <w:tcPr>
            <w:tcW w:w="759" w:type="dxa"/>
            <w:tcBorders>
              <w:top w:val="nil"/>
              <w:left w:val="nil"/>
              <w:bottom w:val="single" w:sz="4" w:space="0" w:color="auto"/>
              <w:right w:val="single" w:sz="4" w:space="0" w:color="auto"/>
            </w:tcBorders>
            <w:shd w:val="clear" w:color="auto" w:fill="auto"/>
            <w:noWrap/>
            <w:vAlign w:val="center"/>
            <w:hideMark/>
          </w:tcPr>
          <w:p w14:paraId="60F5DE64"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0,05</w:t>
            </w:r>
          </w:p>
        </w:tc>
        <w:tc>
          <w:tcPr>
            <w:tcW w:w="1361" w:type="dxa"/>
            <w:tcBorders>
              <w:top w:val="nil"/>
              <w:left w:val="nil"/>
              <w:bottom w:val="single" w:sz="4" w:space="0" w:color="auto"/>
              <w:right w:val="single" w:sz="4" w:space="0" w:color="auto"/>
            </w:tcBorders>
            <w:shd w:val="clear" w:color="auto" w:fill="auto"/>
            <w:noWrap/>
            <w:vAlign w:val="center"/>
            <w:hideMark/>
          </w:tcPr>
          <w:p w14:paraId="53617EA4"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523.233.275,65</w:t>
            </w:r>
          </w:p>
        </w:tc>
      </w:tr>
      <w:tr w:rsidR="003B1C77" w:rsidRPr="003B1C77" w14:paraId="17BA22B4" w14:textId="77777777" w:rsidTr="003B1C77">
        <w:trPr>
          <w:trHeight w:val="275"/>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78337006" w14:textId="77777777" w:rsidR="003B1C77" w:rsidRPr="003B1C77" w:rsidRDefault="003B1C77" w:rsidP="003B1C77">
            <w:pPr>
              <w:spacing w:after="0" w:line="240" w:lineRule="auto"/>
              <w:jc w:val="center"/>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2022</w:t>
            </w:r>
          </w:p>
        </w:tc>
        <w:tc>
          <w:tcPr>
            <w:tcW w:w="902" w:type="dxa"/>
            <w:tcBorders>
              <w:top w:val="nil"/>
              <w:left w:val="nil"/>
              <w:bottom w:val="single" w:sz="4" w:space="0" w:color="auto"/>
              <w:right w:val="single" w:sz="4" w:space="0" w:color="auto"/>
            </w:tcBorders>
            <w:shd w:val="clear" w:color="auto" w:fill="auto"/>
            <w:noWrap/>
            <w:vAlign w:val="center"/>
            <w:hideMark/>
          </w:tcPr>
          <w:p w14:paraId="685D9721"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246,59</w:t>
            </w:r>
          </w:p>
        </w:tc>
        <w:tc>
          <w:tcPr>
            <w:tcW w:w="1175" w:type="dxa"/>
            <w:tcBorders>
              <w:top w:val="nil"/>
              <w:left w:val="nil"/>
              <w:bottom w:val="single" w:sz="4" w:space="0" w:color="auto"/>
              <w:right w:val="single" w:sz="4" w:space="0" w:color="auto"/>
            </w:tcBorders>
            <w:shd w:val="clear" w:color="auto" w:fill="auto"/>
            <w:noWrap/>
            <w:vAlign w:val="center"/>
            <w:hideMark/>
          </w:tcPr>
          <w:p w14:paraId="697BBE0E"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32,12</w:t>
            </w:r>
          </w:p>
        </w:tc>
        <w:tc>
          <w:tcPr>
            <w:tcW w:w="1189" w:type="dxa"/>
            <w:tcBorders>
              <w:top w:val="nil"/>
              <w:left w:val="nil"/>
              <w:bottom w:val="single" w:sz="4" w:space="0" w:color="auto"/>
              <w:right w:val="single" w:sz="4" w:space="0" w:color="auto"/>
            </w:tcBorders>
            <w:shd w:val="clear" w:color="auto" w:fill="auto"/>
            <w:noWrap/>
            <w:vAlign w:val="center"/>
            <w:hideMark/>
          </w:tcPr>
          <w:p w14:paraId="4B36FC99"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97,72</w:t>
            </w:r>
          </w:p>
        </w:tc>
        <w:tc>
          <w:tcPr>
            <w:tcW w:w="1347" w:type="dxa"/>
            <w:tcBorders>
              <w:top w:val="nil"/>
              <w:left w:val="nil"/>
              <w:bottom w:val="single" w:sz="4" w:space="0" w:color="auto"/>
              <w:right w:val="single" w:sz="4" w:space="0" w:color="auto"/>
            </w:tcBorders>
            <w:shd w:val="clear" w:color="auto" w:fill="auto"/>
            <w:noWrap/>
            <w:vAlign w:val="center"/>
            <w:hideMark/>
          </w:tcPr>
          <w:p w14:paraId="1785476F"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1,66</w:t>
            </w:r>
          </w:p>
        </w:tc>
        <w:tc>
          <w:tcPr>
            <w:tcW w:w="1433" w:type="dxa"/>
            <w:tcBorders>
              <w:top w:val="nil"/>
              <w:left w:val="nil"/>
              <w:bottom w:val="single" w:sz="4" w:space="0" w:color="auto"/>
              <w:right w:val="single" w:sz="4" w:space="0" w:color="auto"/>
            </w:tcBorders>
            <w:shd w:val="clear" w:color="auto" w:fill="auto"/>
            <w:noWrap/>
            <w:vAlign w:val="center"/>
            <w:hideMark/>
          </w:tcPr>
          <w:p w14:paraId="6F123C99"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1,76</w:t>
            </w:r>
          </w:p>
        </w:tc>
        <w:tc>
          <w:tcPr>
            <w:tcW w:w="759" w:type="dxa"/>
            <w:tcBorders>
              <w:top w:val="nil"/>
              <w:left w:val="nil"/>
              <w:bottom w:val="single" w:sz="4" w:space="0" w:color="auto"/>
              <w:right w:val="single" w:sz="4" w:space="0" w:color="auto"/>
            </w:tcBorders>
            <w:shd w:val="clear" w:color="auto" w:fill="auto"/>
            <w:noWrap/>
            <w:vAlign w:val="center"/>
            <w:hideMark/>
          </w:tcPr>
          <w:p w14:paraId="29AB9A2B"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0,06</w:t>
            </w:r>
          </w:p>
        </w:tc>
        <w:tc>
          <w:tcPr>
            <w:tcW w:w="1361" w:type="dxa"/>
            <w:tcBorders>
              <w:top w:val="nil"/>
              <w:left w:val="nil"/>
              <w:bottom w:val="single" w:sz="4" w:space="0" w:color="auto"/>
              <w:right w:val="single" w:sz="4" w:space="0" w:color="auto"/>
            </w:tcBorders>
            <w:shd w:val="clear" w:color="auto" w:fill="auto"/>
            <w:noWrap/>
            <w:vAlign w:val="center"/>
            <w:hideMark/>
          </w:tcPr>
          <w:p w14:paraId="37461C58"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2.806.625.570,64</w:t>
            </w:r>
          </w:p>
        </w:tc>
      </w:tr>
      <w:tr w:rsidR="003B1C77" w:rsidRPr="003B1C77" w14:paraId="5E31D585" w14:textId="77777777" w:rsidTr="003B1C77">
        <w:trPr>
          <w:trHeight w:val="275"/>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5AD218D9" w14:textId="77777777" w:rsidR="003B1C77" w:rsidRPr="003B1C77" w:rsidRDefault="003B1C77" w:rsidP="003B1C77">
            <w:pPr>
              <w:spacing w:after="0" w:line="240" w:lineRule="auto"/>
              <w:jc w:val="center"/>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2023</w:t>
            </w:r>
          </w:p>
        </w:tc>
        <w:tc>
          <w:tcPr>
            <w:tcW w:w="902" w:type="dxa"/>
            <w:tcBorders>
              <w:top w:val="nil"/>
              <w:left w:val="nil"/>
              <w:bottom w:val="single" w:sz="4" w:space="0" w:color="auto"/>
              <w:right w:val="single" w:sz="4" w:space="0" w:color="auto"/>
            </w:tcBorders>
            <w:shd w:val="clear" w:color="auto" w:fill="auto"/>
            <w:noWrap/>
            <w:vAlign w:val="center"/>
            <w:hideMark/>
          </w:tcPr>
          <w:p w14:paraId="49102548"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60,15</w:t>
            </w:r>
          </w:p>
        </w:tc>
        <w:tc>
          <w:tcPr>
            <w:tcW w:w="1175" w:type="dxa"/>
            <w:tcBorders>
              <w:top w:val="nil"/>
              <w:left w:val="nil"/>
              <w:bottom w:val="single" w:sz="4" w:space="0" w:color="auto"/>
              <w:right w:val="single" w:sz="4" w:space="0" w:color="auto"/>
            </w:tcBorders>
            <w:shd w:val="clear" w:color="auto" w:fill="auto"/>
            <w:noWrap/>
            <w:vAlign w:val="center"/>
            <w:hideMark/>
          </w:tcPr>
          <w:p w14:paraId="0B731CF1"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37,98</w:t>
            </w:r>
          </w:p>
        </w:tc>
        <w:tc>
          <w:tcPr>
            <w:tcW w:w="1189" w:type="dxa"/>
            <w:tcBorders>
              <w:top w:val="nil"/>
              <w:left w:val="nil"/>
              <w:bottom w:val="single" w:sz="4" w:space="0" w:color="auto"/>
              <w:right w:val="single" w:sz="4" w:space="0" w:color="auto"/>
            </w:tcBorders>
            <w:shd w:val="clear" w:color="auto" w:fill="auto"/>
            <w:noWrap/>
            <w:vAlign w:val="center"/>
            <w:hideMark/>
          </w:tcPr>
          <w:p w14:paraId="5A29FE99" w14:textId="0C649E6D" w:rsidR="003B1C77" w:rsidRPr="003B1C77" w:rsidRDefault="003A25DE" w:rsidP="003B1C77">
            <w:pPr>
              <w:spacing w:after="0" w:line="240" w:lineRule="auto"/>
              <w:jc w:val="right"/>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44,22</w:t>
            </w:r>
          </w:p>
        </w:tc>
        <w:tc>
          <w:tcPr>
            <w:tcW w:w="1347" w:type="dxa"/>
            <w:tcBorders>
              <w:top w:val="nil"/>
              <w:left w:val="nil"/>
              <w:bottom w:val="single" w:sz="4" w:space="0" w:color="auto"/>
              <w:right w:val="single" w:sz="4" w:space="0" w:color="auto"/>
            </w:tcBorders>
            <w:shd w:val="clear" w:color="auto" w:fill="auto"/>
            <w:noWrap/>
            <w:vAlign w:val="center"/>
            <w:hideMark/>
          </w:tcPr>
          <w:p w14:paraId="18192480"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2,38</w:t>
            </w:r>
          </w:p>
        </w:tc>
        <w:tc>
          <w:tcPr>
            <w:tcW w:w="1433" w:type="dxa"/>
            <w:tcBorders>
              <w:top w:val="nil"/>
              <w:left w:val="nil"/>
              <w:bottom w:val="single" w:sz="4" w:space="0" w:color="auto"/>
              <w:right w:val="single" w:sz="4" w:space="0" w:color="auto"/>
            </w:tcBorders>
            <w:shd w:val="clear" w:color="auto" w:fill="auto"/>
            <w:noWrap/>
            <w:vAlign w:val="center"/>
            <w:hideMark/>
          </w:tcPr>
          <w:p w14:paraId="179A1214"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2,31</w:t>
            </w:r>
          </w:p>
        </w:tc>
        <w:tc>
          <w:tcPr>
            <w:tcW w:w="759" w:type="dxa"/>
            <w:tcBorders>
              <w:top w:val="nil"/>
              <w:left w:val="nil"/>
              <w:bottom w:val="single" w:sz="4" w:space="0" w:color="auto"/>
              <w:right w:val="single" w:sz="4" w:space="0" w:color="auto"/>
            </w:tcBorders>
            <w:shd w:val="clear" w:color="auto" w:fill="auto"/>
            <w:noWrap/>
            <w:vAlign w:val="center"/>
            <w:hideMark/>
          </w:tcPr>
          <w:p w14:paraId="0CB43900"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-0,02</w:t>
            </w:r>
          </w:p>
        </w:tc>
        <w:tc>
          <w:tcPr>
            <w:tcW w:w="1361" w:type="dxa"/>
            <w:tcBorders>
              <w:top w:val="nil"/>
              <w:left w:val="nil"/>
              <w:bottom w:val="single" w:sz="4" w:space="0" w:color="auto"/>
              <w:right w:val="single" w:sz="4" w:space="0" w:color="auto"/>
            </w:tcBorders>
            <w:shd w:val="clear" w:color="auto" w:fill="auto"/>
            <w:noWrap/>
            <w:vAlign w:val="center"/>
            <w:hideMark/>
          </w:tcPr>
          <w:p w14:paraId="78FB5D29"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3.351.234.415,18</w:t>
            </w:r>
          </w:p>
        </w:tc>
      </w:tr>
      <w:tr w:rsidR="003B1C77" w:rsidRPr="003B1C77" w14:paraId="1FD69BA8" w14:textId="77777777" w:rsidTr="003B1C77">
        <w:trPr>
          <w:trHeight w:val="275"/>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38D93140" w14:textId="77777777" w:rsidR="003B1C77" w:rsidRPr="003B1C77" w:rsidRDefault="003B1C77" w:rsidP="003B1C77">
            <w:pPr>
              <w:spacing w:after="0" w:line="240" w:lineRule="auto"/>
              <w:jc w:val="center"/>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2024***</w:t>
            </w:r>
          </w:p>
        </w:tc>
        <w:tc>
          <w:tcPr>
            <w:tcW w:w="902" w:type="dxa"/>
            <w:tcBorders>
              <w:top w:val="nil"/>
              <w:left w:val="nil"/>
              <w:bottom w:val="single" w:sz="4" w:space="0" w:color="auto"/>
              <w:right w:val="single" w:sz="4" w:space="0" w:color="auto"/>
            </w:tcBorders>
            <w:shd w:val="clear" w:color="auto" w:fill="auto"/>
            <w:noWrap/>
            <w:vAlign w:val="center"/>
            <w:hideMark/>
          </w:tcPr>
          <w:p w14:paraId="7F43273B"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52,09</w:t>
            </w:r>
          </w:p>
        </w:tc>
        <w:tc>
          <w:tcPr>
            <w:tcW w:w="1175" w:type="dxa"/>
            <w:tcBorders>
              <w:top w:val="nil"/>
              <w:left w:val="nil"/>
              <w:bottom w:val="single" w:sz="4" w:space="0" w:color="auto"/>
              <w:right w:val="single" w:sz="4" w:space="0" w:color="auto"/>
            </w:tcBorders>
            <w:shd w:val="clear" w:color="auto" w:fill="auto"/>
            <w:noWrap/>
            <w:vAlign w:val="center"/>
            <w:hideMark/>
          </w:tcPr>
          <w:p w14:paraId="4E451179"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44,78</w:t>
            </w:r>
          </w:p>
        </w:tc>
        <w:tc>
          <w:tcPr>
            <w:tcW w:w="1189" w:type="dxa"/>
            <w:tcBorders>
              <w:top w:val="nil"/>
              <w:left w:val="nil"/>
              <w:bottom w:val="single" w:sz="4" w:space="0" w:color="auto"/>
              <w:right w:val="single" w:sz="4" w:space="0" w:color="auto"/>
            </w:tcBorders>
            <w:shd w:val="clear" w:color="auto" w:fill="auto"/>
            <w:noWrap/>
            <w:vAlign w:val="center"/>
            <w:hideMark/>
          </w:tcPr>
          <w:p w14:paraId="4ABC1F5B"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19,49</w:t>
            </w:r>
          </w:p>
        </w:tc>
        <w:tc>
          <w:tcPr>
            <w:tcW w:w="1347" w:type="dxa"/>
            <w:tcBorders>
              <w:top w:val="nil"/>
              <w:left w:val="nil"/>
              <w:bottom w:val="single" w:sz="4" w:space="0" w:color="auto"/>
              <w:right w:val="single" w:sz="4" w:space="0" w:color="auto"/>
            </w:tcBorders>
            <w:shd w:val="clear" w:color="auto" w:fill="auto"/>
            <w:noWrap/>
            <w:vAlign w:val="center"/>
            <w:hideMark/>
          </w:tcPr>
          <w:p w14:paraId="2E0BBC14"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1,54</w:t>
            </w:r>
          </w:p>
        </w:tc>
        <w:tc>
          <w:tcPr>
            <w:tcW w:w="1433" w:type="dxa"/>
            <w:tcBorders>
              <w:top w:val="nil"/>
              <w:left w:val="nil"/>
              <w:bottom w:val="single" w:sz="4" w:space="0" w:color="auto"/>
              <w:right w:val="single" w:sz="4" w:space="0" w:color="auto"/>
            </w:tcBorders>
            <w:shd w:val="clear" w:color="auto" w:fill="auto"/>
            <w:noWrap/>
            <w:vAlign w:val="center"/>
            <w:hideMark/>
          </w:tcPr>
          <w:p w14:paraId="133B12D3"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1,34</w:t>
            </w:r>
          </w:p>
        </w:tc>
        <w:tc>
          <w:tcPr>
            <w:tcW w:w="759" w:type="dxa"/>
            <w:tcBorders>
              <w:top w:val="nil"/>
              <w:left w:val="nil"/>
              <w:bottom w:val="single" w:sz="4" w:space="0" w:color="auto"/>
              <w:right w:val="single" w:sz="4" w:space="0" w:color="auto"/>
            </w:tcBorders>
            <w:shd w:val="clear" w:color="auto" w:fill="auto"/>
            <w:noWrap/>
            <w:vAlign w:val="center"/>
            <w:hideMark/>
          </w:tcPr>
          <w:p w14:paraId="5C4DEE09"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0,04</w:t>
            </w:r>
          </w:p>
        </w:tc>
        <w:tc>
          <w:tcPr>
            <w:tcW w:w="1361" w:type="dxa"/>
            <w:tcBorders>
              <w:top w:val="nil"/>
              <w:left w:val="nil"/>
              <w:bottom w:val="single" w:sz="4" w:space="0" w:color="auto"/>
              <w:right w:val="single" w:sz="4" w:space="0" w:color="auto"/>
            </w:tcBorders>
            <w:shd w:val="clear" w:color="auto" w:fill="auto"/>
            <w:noWrap/>
            <w:vAlign w:val="center"/>
            <w:hideMark/>
          </w:tcPr>
          <w:p w14:paraId="34B1B0C1" w14:textId="77777777" w:rsidR="003B1C77" w:rsidRPr="003B1C77" w:rsidRDefault="003B1C77" w:rsidP="003B1C77">
            <w:pPr>
              <w:spacing w:after="0" w:line="240" w:lineRule="auto"/>
              <w:jc w:val="right"/>
              <w:rPr>
                <w:rFonts w:ascii="Times New Roman" w:eastAsia="Times New Roman" w:hAnsi="Times New Roman" w:cs="Times New Roman"/>
                <w:b/>
                <w:bCs/>
                <w:color w:val="000000"/>
                <w:sz w:val="18"/>
                <w:szCs w:val="18"/>
                <w:lang w:eastAsia="tr-TR"/>
              </w:rPr>
            </w:pPr>
            <w:r w:rsidRPr="003B1C77">
              <w:rPr>
                <w:rFonts w:ascii="Times New Roman" w:eastAsia="Times New Roman" w:hAnsi="Times New Roman" w:cs="Times New Roman"/>
                <w:b/>
                <w:bCs/>
                <w:color w:val="000000"/>
                <w:sz w:val="18"/>
                <w:szCs w:val="18"/>
                <w:lang w:eastAsia="tr-TR"/>
              </w:rPr>
              <w:t>5.236.934.974,59</w:t>
            </w:r>
          </w:p>
        </w:tc>
      </w:tr>
    </w:tbl>
    <w:p w14:paraId="7A161A44" w14:textId="77777777" w:rsidR="00106889" w:rsidRPr="00C6319A" w:rsidRDefault="00106889" w:rsidP="00032E31">
      <w:pPr>
        <w:spacing w:after="0"/>
        <w:jc w:val="both"/>
        <w:rPr>
          <w:rFonts w:ascii="Times New Roman" w:hAnsi="Times New Roman" w:cs="Times New Roman"/>
          <w:sz w:val="24"/>
          <w:szCs w:val="24"/>
        </w:rPr>
      </w:pPr>
    </w:p>
    <w:p w14:paraId="3CFA9904" w14:textId="5291D7FD" w:rsidR="00621CF3" w:rsidRPr="00C6319A" w:rsidRDefault="00030329" w:rsidP="00032E31">
      <w:pPr>
        <w:spacing w:after="0"/>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r>
      <w:r w:rsidR="005C70A1" w:rsidRPr="00C6319A">
        <w:rPr>
          <w:rFonts w:ascii="Times New Roman" w:hAnsi="Times New Roman" w:cs="Times New Roman"/>
          <w:sz w:val="24"/>
          <w:szCs w:val="24"/>
        </w:rPr>
        <w:t>Eşik Değer</w:t>
      </w:r>
      <w:r w:rsidRPr="00C6319A">
        <w:rPr>
          <w:rFonts w:ascii="Times New Roman" w:hAnsi="Times New Roman" w:cs="Times New Roman"/>
          <w:sz w:val="24"/>
          <w:szCs w:val="24"/>
        </w:rPr>
        <w:t xml:space="preserve">: </w:t>
      </w:r>
      <w:r w:rsidR="00AE49C4" w:rsidRPr="00C6319A">
        <w:rPr>
          <w:rFonts w:ascii="Times New Roman" w:hAnsi="Times New Roman" w:cs="Times New Roman"/>
          <w:sz w:val="24"/>
          <w:szCs w:val="24"/>
        </w:rPr>
        <w:t xml:space="preserve">%90 </w:t>
      </w:r>
      <w:r w:rsidR="00050C00" w:rsidRPr="00C6319A">
        <w:rPr>
          <w:rFonts w:ascii="Times New Roman" w:hAnsi="Times New Roman" w:cs="Times New Roman"/>
          <w:sz w:val="24"/>
          <w:szCs w:val="24"/>
        </w:rPr>
        <w:t xml:space="preserve">BIST 100 Getiri Endeksi </w:t>
      </w:r>
      <w:r w:rsidR="0021216E" w:rsidRPr="00C6319A">
        <w:rPr>
          <w:rFonts w:ascii="Times New Roman" w:hAnsi="Times New Roman" w:cs="Times New Roman"/>
          <w:sz w:val="24"/>
          <w:szCs w:val="24"/>
        </w:rPr>
        <w:t>+</w:t>
      </w:r>
      <w:r w:rsidR="00AE49C4" w:rsidRPr="00C6319A">
        <w:rPr>
          <w:rFonts w:ascii="Times New Roman" w:hAnsi="Times New Roman" w:cs="Times New Roman"/>
          <w:sz w:val="24"/>
          <w:szCs w:val="24"/>
        </w:rPr>
        <w:t>%10</w:t>
      </w:r>
      <w:r w:rsidR="00050C00" w:rsidRPr="00C6319A">
        <w:rPr>
          <w:rFonts w:ascii="Times New Roman" w:hAnsi="Times New Roman" w:cs="Times New Roman"/>
          <w:sz w:val="24"/>
          <w:szCs w:val="24"/>
        </w:rPr>
        <w:t xml:space="preserve"> BIST-KYD Repo (Brüt) </w:t>
      </w:r>
      <w:r w:rsidRPr="00C6319A">
        <w:rPr>
          <w:rFonts w:ascii="Times New Roman" w:hAnsi="Times New Roman" w:cs="Times New Roman"/>
          <w:sz w:val="24"/>
          <w:szCs w:val="24"/>
        </w:rPr>
        <w:t>Endeksi’dir.</w:t>
      </w:r>
    </w:p>
    <w:p w14:paraId="74CD0119" w14:textId="0D71B191" w:rsidR="005F5413" w:rsidRPr="00C6319A" w:rsidRDefault="005F5413" w:rsidP="00032E31">
      <w:pPr>
        <w:spacing w:after="0"/>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r>
      <w:r w:rsidR="000333B4" w:rsidRPr="00C6319A">
        <w:rPr>
          <w:rFonts w:ascii="Times New Roman" w:hAnsi="Times New Roman" w:cs="Times New Roman"/>
          <w:sz w:val="24"/>
          <w:szCs w:val="24"/>
        </w:rPr>
        <w:t>Enflasyon oranı T</w:t>
      </w:r>
      <w:r w:rsidR="00747866" w:rsidRPr="00C6319A">
        <w:rPr>
          <w:rFonts w:ascii="Times New Roman" w:hAnsi="Times New Roman" w:cs="Times New Roman"/>
          <w:sz w:val="24"/>
          <w:szCs w:val="24"/>
        </w:rPr>
        <w:t>Ü</w:t>
      </w:r>
      <w:r w:rsidR="000333B4" w:rsidRPr="00C6319A">
        <w:rPr>
          <w:rFonts w:ascii="Times New Roman" w:hAnsi="Times New Roman" w:cs="Times New Roman"/>
          <w:sz w:val="24"/>
          <w:szCs w:val="24"/>
        </w:rPr>
        <w:t xml:space="preserve">İK tarafından açıklanan </w:t>
      </w:r>
      <w:r w:rsidRPr="00C6319A">
        <w:rPr>
          <w:rFonts w:ascii="Times New Roman" w:hAnsi="Times New Roman" w:cs="Times New Roman"/>
          <w:sz w:val="24"/>
          <w:szCs w:val="24"/>
        </w:rPr>
        <w:t>ÜFE</w:t>
      </w:r>
      <w:r w:rsidR="000333B4" w:rsidRPr="00C6319A">
        <w:rPr>
          <w:rFonts w:ascii="Times New Roman" w:hAnsi="Times New Roman" w:cs="Times New Roman"/>
          <w:sz w:val="24"/>
          <w:szCs w:val="24"/>
        </w:rPr>
        <w:t>’nin dönemsel oranıdır.</w:t>
      </w:r>
    </w:p>
    <w:p w14:paraId="77B00355" w14:textId="6884E39D" w:rsidR="00030329" w:rsidRPr="00C6319A" w:rsidRDefault="005F5413" w:rsidP="00032E31">
      <w:pPr>
        <w:spacing w:after="0"/>
        <w:ind w:left="705" w:hanging="705"/>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t xml:space="preserve">Fon’un </w:t>
      </w:r>
      <w:r w:rsidR="00227C69" w:rsidRPr="00C6319A">
        <w:rPr>
          <w:rFonts w:ascii="Times New Roman" w:hAnsi="Times New Roman" w:cs="Times New Roman"/>
          <w:sz w:val="24"/>
          <w:szCs w:val="24"/>
        </w:rPr>
        <w:t>0</w:t>
      </w:r>
      <w:r w:rsidR="007C20F0">
        <w:rPr>
          <w:rFonts w:ascii="Times New Roman" w:hAnsi="Times New Roman" w:cs="Times New Roman"/>
          <w:sz w:val="24"/>
          <w:szCs w:val="24"/>
        </w:rPr>
        <w:t>1</w:t>
      </w:r>
      <w:r w:rsidR="009F2ACA" w:rsidRPr="00C6319A">
        <w:rPr>
          <w:rFonts w:ascii="Times New Roman" w:hAnsi="Times New Roman" w:cs="Times New Roman"/>
          <w:sz w:val="24"/>
          <w:szCs w:val="24"/>
        </w:rPr>
        <w:t>.01.202</w:t>
      </w:r>
      <w:r w:rsidR="00065486">
        <w:rPr>
          <w:rFonts w:ascii="Times New Roman" w:hAnsi="Times New Roman" w:cs="Times New Roman"/>
          <w:sz w:val="24"/>
          <w:szCs w:val="24"/>
        </w:rPr>
        <w:t>4</w:t>
      </w:r>
      <w:r w:rsidRPr="00C6319A">
        <w:rPr>
          <w:rFonts w:ascii="Times New Roman" w:hAnsi="Times New Roman" w:cs="Times New Roman"/>
          <w:sz w:val="24"/>
          <w:szCs w:val="24"/>
        </w:rPr>
        <w:t xml:space="preserve"> ile </w:t>
      </w:r>
      <w:r w:rsidR="00931D90">
        <w:rPr>
          <w:rFonts w:ascii="Times New Roman" w:hAnsi="Times New Roman" w:cs="Times New Roman"/>
          <w:sz w:val="24"/>
          <w:szCs w:val="24"/>
        </w:rPr>
        <w:t>3</w:t>
      </w:r>
      <w:r w:rsidR="00065486">
        <w:rPr>
          <w:rFonts w:ascii="Times New Roman" w:hAnsi="Times New Roman" w:cs="Times New Roman"/>
          <w:sz w:val="24"/>
          <w:szCs w:val="24"/>
        </w:rPr>
        <w:t>0.06.2024</w:t>
      </w:r>
      <w:r w:rsidRPr="00C6319A">
        <w:rPr>
          <w:rFonts w:ascii="Times New Roman" w:hAnsi="Times New Roman" w:cs="Times New Roman"/>
          <w:sz w:val="24"/>
          <w:szCs w:val="24"/>
        </w:rPr>
        <w:t xml:space="preserve"> tarihleri arasındaki dönemi kapsamaktadır.</w:t>
      </w:r>
    </w:p>
    <w:p w14:paraId="69E1A96A" w14:textId="77777777" w:rsidR="00BC4211" w:rsidRPr="00C6319A" w:rsidRDefault="00BC4211" w:rsidP="00032E31">
      <w:pPr>
        <w:spacing w:after="0"/>
        <w:ind w:left="705" w:hanging="705"/>
        <w:jc w:val="both"/>
        <w:rPr>
          <w:rFonts w:ascii="Times New Roman" w:hAnsi="Times New Roman" w:cs="Times New Roman"/>
          <w:sz w:val="24"/>
          <w:szCs w:val="24"/>
        </w:rPr>
      </w:pPr>
    </w:p>
    <w:p w14:paraId="112D3129" w14:textId="77777777" w:rsidR="00BC4211" w:rsidRPr="00C6319A" w:rsidRDefault="002E2517" w:rsidP="005F5413">
      <w:pPr>
        <w:spacing w:after="0"/>
        <w:ind w:left="705" w:hanging="705"/>
        <w:rPr>
          <w:rFonts w:ascii="Times New Roman" w:hAnsi="Times New Roman" w:cs="Times New Roman"/>
          <w:b/>
          <w:sz w:val="24"/>
          <w:szCs w:val="24"/>
          <w:u w:val="single"/>
        </w:rPr>
      </w:pPr>
      <w:r w:rsidRPr="00C6319A">
        <w:rPr>
          <w:rFonts w:ascii="Times New Roman" w:hAnsi="Times New Roman" w:cs="Times New Roman"/>
          <w:b/>
          <w:sz w:val="24"/>
          <w:szCs w:val="24"/>
          <w:u w:val="single"/>
          <w:shd w:val="clear" w:color="auto" w:fill="FFFFFF"/>
        </w:rPr>
        <w:t>Portföyün geçmiş performansı gelecek dönem performansı için bir gösterge olamaz.</w:t>
      </w:r>
    </w:p>
    <w:p w14:paraId="4E5D851F" w14:textId="5F2FA8AF" w:rsidR="006858ED" w:rsidRPr="00C6319A" w:rsidRDefault="006858ED" w:rsidP="005F5413">
      <w:pPr>
        <w:spacing w:after="0"/>
        <w:ind w:left="705" w:hanging="705"/>
        <w:rPr>
          <w:rFonts w:ascii="Times New Roman" w:hAnsi="Times New Roman" w:cs="Times New Roman"/>
          <w:sz w:val="24"/>
          <w:szCs w:val="24"/>
        </w:rPr>
      </w:pPr>
    </w:p>
    <w:p w14:paraId="42673976" w14:textId="77777777" w:rsidR="000B5411" w:rsidRPr="00C6319A" w:rsidRDefault="000B5411" w:rsidP="005F5413">
      <w:pPr>
        <w:spacing w:after="0"/>
        <w:ind w:left="705" w:hanging="705"/>
        <w:rPr>
          <w:rFonts w:ascii="Times New Roman" w:hAnsi="Times New Roman" w:cs="Times New Roman"/>
          <w:sz w:val="24"/>
          <w:szCs w:val="24"/>
        </w:rPr>
      </w:pPr>
    </w:p>
    <w:p w14:paraId="586855A8" w14:textId="77777777" w:rsidR="00BC4211" w:rsidRPr="00C6319A" w:rsidRDefault="00BC4211" w:rsidP="00BC4211">
      <w:pPr>
        <w:pStyle w:val="ListeParagraf"/>
        <w:numPr>
          <w:ilvl w:val="0"/>
          <w:numId w:val="1"/>
        </w:numPr>
        <w:spacing w:after="0"/>
        <w:rPr>
          <w:rFonts w:ascii="Times New Roman" w:hAnsi="Times New Roman" w:cs="Times New Roman"/>
          <w:b/>
          <w:sz w:val="24"/>
          <w:szCs w:val="24"/>
        </w:rPr>
      </w:pPr>
      <w:r w:rsidRPr="00C6319A">
        <w:rPr>
          <w:rFonts w:ascii="Times New Roman" w:hAnsi="Times New Roman" w:cs="Times New Roman"/>
          <w:b/>
          <w:sz w:val="24"/>
          <w:szCs w:val="24"/>
        </w:rPr>
        <w:lastRenderedPageBreak/>
        <w:t>DİPNOTLAR</w:t>
      </w:r>
    </w:p>
    <w:p w14:paraId="35AAFA9A" w14:textId="77777777" w:rsidR="00596C79" w:rsidRPr="00C6319A" w:rsidRDefault="00596C79" w:rsidP="00596C79">
      <w:pPr>
        <w:pStyle w:val="ListeParagraf"/>
        <w:spacing w:after="0"/>
        <w:rPr>
          <w:rFonts w:ascii="Times New Roman" w:hAnsi="Times New Roman" w:cs="Times New Roman"/>
          <w:b/>
          <w:sz w:val="24"/>
          <w:szCs w:val="24"/>
        </w:rPr>
      </w:pPr>
    </w:p>
    <w:p w14:paraId="7F495CCF" w14:textId="77777777" w:rsidR="00E0030E" w:rsidRDefault="00DF107F" w:rsidP="00E0030E">
      <w:pPr>
        <w:pStyle w:val="ListeParagraf"/>
        <w:numPr>
          <w:ilvl w:val="0"/>
          <w:numId w:val="6"/>
        </w:numPr>
        <w:spacing w:after="0"/>
        <w:jc w:val="both"/>
        <w:rPr>
          <w:rFonts w:ascii="Times New Roman" w:eastAsia="Times New Roman" w:hAnsi="Times New Roman" w:cs="Times New Roman"/>
          <w:sz w:val="24"/>
          <w:szCs w:val="24"/>
        </w:rPr>
      </w:pPr>
      <w:r w:rsidRPr="00E0030E">
        <w:rPr>
          <w:rFonts w:ascii="Times New Roman" w:hAnsi="Times New Roman" w:cs="Times New Roman"/>
          <w:sz w:val="24"/>
          <w:szCs w:val="24"/>
        </w:rPr>
        <w:t xml:space="preserve"> </w:t>
      </w:r>
      <w:r w:rsidR="00E0030E">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7D7C2BFE" w14:textId="3C7A5EE5" w:rsidR="00DF107F" w:rsidRPr="00E0030E" w:rsidRDefault="00DF107F" w:rsidP="00E0030E">
      <w:pPr>
        <w:pStyle w:val="ListeParagraf"/>
        <w:spacing w:after="0"/>
        <w:jc w:val="both"/>
        <w:rPr>
          <w:rFonts w:ascii="Times New Roman" w:hAnsi="Times New Roman" w:cs="Times New Roman"/>
          <w:sz w:val="24"/>
          <w:szCs w:val="24"/>
        </w:rPr>
      </w:pPr>
    </w:p>
    <w:p w14:paraId="30FD4DB9" w14:textId="77777777" w:rsidR="00596C79" w:rsidRPr="00C6319A" w:rsidRDefault="00FF1215" w:rsidP="00596C79">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C6319A" w:rsidRDefault="00596C79" w:rsidP="0046476F">
      <w:pPr>
        <w:spacing w:after="0"/>
        <w:ind w:left="360"/>
        <w:jc w:val="both"/>
        <w:rPr>
          <w:rFonts w:ascii="Times New Roman" w:hAnsi="Times New Roman" w:cs="Times New Roman"/>
          <w:sz w:val="24"/>
          <w:szCs w:val="24"/>
        </w:rPr>
      </w:pPr>
    </w:p>
    <w:p w14:paraId="699222F4" w14:textId="554A7C2D" w:rsidR="00FF1215" w:rsidRPr="00C6319A" w:rsidRDefault="00FF1215" w:rsidP="00032E31">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Fon</w:t>
      </w:r>
      <w:r w:rsidR="00ED76F3" w:rsidRPr="00C6319A">
        <w:rPr>
          <w:rFonts w:ascii="Times New Roman" w:hAnsi="Times New Roman" w:cs="Times New Roman"/>
          <w:sz w:val="24"/>
          <w:szCs w:val="24"/>
        </w:rPr>
        <w:t>,</w:t>
      </w:r>
      <w:r w:rsidRPr="00C6319A">
        <w:rPr>
          <w:rFonts w:ascii="Times New Roman" w:hAnsi="Times New Roman" w:cs="Times New Roman"/>
          <w:sz w:val="24"/>
          <w:szCs w:val="24"/>
        </w:rPr>
        <w:t xml:space="preserve"> </w:t>
      </w:r>
      <w:r w:rsidR="00EE1C8B" w:rsidRPr="00C6319A">
        <w:rPr>
          <w:rFonts w:ascii="Times New Roman" w:hAnsi="Times New Roman" w:cs="Times New Roman"/>
          <w:sz w:val="24"/>
          <w:szCs w:val="24"/>
        </w:rPr>
        <w:t>performans sunum</w:t>
      </w:r>
      <w:r w:rsidRPr="00C6319A">
        <w:rPr>
          <w:rFonts w:ascii="Times New Roman" w:hAnsi="Times New Roman" w:cs="Times New Roman"/>
          <w:sz w:val="24"/>
          <w:szCs w:val="24"/>
        </w:rPr>
        <w:t xml:space="preserve"> döneminde net </w:t>
      </w:r>
      <w:r w:rsidR="00995889" w:rsidRPr="00C6319A">
        <w:rPr>
          <w:rFonts w:ascii="Times New Roman" w:hAnsi="Times New Roman" w:cs="Times New Roman"/>
          <w:sz w:val="24"/>
          <w:szCs w:val="24"/>
        </w:rPr>
        <w:t>%</w:t>
      </w:r>
      <w:r w:rsidR="002D6481">
        <w:rPr>
          <w:rFonts w:ascii="Times New Roman" w:hAnsi="Times New Roman" w:cs="Times New Roman"/>
          <w:sz w:val="24"/>
          <w:szCs w:val="24"/>
        </w:rPr>
        <w:t xml:space="preserve"> </w:t>
      </w:r>
      <w:r w:rsidR="007F6333">
        <w:rPr>
          <w:rFonts w:ascii="Times New Roman" w:hAnsi="Times New Roman" w:cs="Times New Roman"/>
          <w:sz w:val="24"/>
          <w:szCs w:val="24"/>
        </w:rPr>
        <w:t>52,09</w:t>
      </w:r>
      <w:r w:rsidR="006C7294" w:rsidRPr="00C6319A">
        <w:rPr>
          <w:rFonts w:ascii="Times New Roman" w:hAnsi="Times New Roman" w:cs="Times New Roman"/>
          <w:sz w:val="24"/>
          <w:szCs w:val="24"/>
        </w:rPr>
        <w:t xml:space="preserve"> </w:t>
      </w:r>
      <w:r w:rsidR="009F2ACA" w:rsidRPr="00C6319A">
        <w:rPr>
          <w:rFonts w:ascii="Times New Roman" w:hAnsi="Times New Roman" w:cs="Times New Roman"/>
          <w:sz w:val="24"/>
          <w:szCs w:val="24"/>
        </w:rPr>
        <w:t xml:space="preserve"> </w:t>
      </w:r>
      <w:r w:rsidR="00237C1F" w:rsidRPr="00C6319A">
        <w:rPr>
          <w:rFonts w:ascii="Times New Roman" w:hAnsi="Times New Roman" w:cs="Times New Roman"/>
          <w:sz w:val="24"/>
          <w:szCs w:val="24"/>
        </w:rPr>
        <w:t>k</w:t>
      </w:r>
      <w:r w:rsidR="00ED76F3" w:rsidRPr="00C6319A">
        <w:rPr>
          <w:rFonts w:ascii="Times New Roman" w:hAnsi="Times New Roman" w:cs="Times New Roman"/>
          <w:sz w:val="24"/>
          <w:szCs w:val="24"/>
        </w:rPr>
        <w:t>ar et</w:t>
      </w:r>
      <w:r w:rsidRPr="00C6319A">
        <w:rPr>
          <w:rFonts w:ascii="Times New Roman" w:hAnsi="Times New Roman" w:cs="Times New Roman"/>
          <w:sz w:val="24"/>
          <w:szCs w:val="24"/>
        </w:rPr>
        <w:t>miştir.</w:t>
      </w:r>
    </w:p>
    <w:p w14:paraId="2653D3D8" w14:textId="77777777" w:rsidR="00596C79" w:rsidRPr="00C6319A" w:rsidRDefault="00596C79" w:rsidP="0046476F">
      <w:pPr>
        <w:spacing w:after="0"/>
        <w:ind w:left="36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Performans sunum</w:t>
      </w:r>
      <w:r w:rsidR="00ED76F3" w:rsidRPr="00C6319A">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60028FCF" w14:textId="77777777" w:rsidR="00E5383B" w:rsidRPr="00E5383B" w:rsidRDefault="00E5383B" w:rsidP="00E5383B">
      <w:pPr>
        <w:pStyle w:val="ListeParagraf"/>
        <w:rPr>
          <w:rFonts w:ascii="Times New Roman" w:hAnsi="Times New Roman" w:cs="Times New Roman"/>
          <w:sz w:val="24"/>
          <w:szCs w:val="24"/>
        </w:rPr>
      </w:pPr>
    </w:p>
    <w:tbl>
      <w:tblPr>
        <w:tblpPr w:leftFromText="141" w:rightFromText="141" w:vertAnchor="text" w:horzAnchor="page" w:tblpX="1866" w:tblpY="-61"/>
        <w:tblW w:w="8280" w:type="dxa"/>
        <w:tblCellMar>
          <w:left w:w="70" w:type="dxa"/>
          <w:right w:w="70" w:type="dxa"/>
        </w:tblCellMar>
        <w:tblLook w:val="04A0" w:firstRow="1" w:lastRow="0" w:firstColumn="1" w:lastColumn="0" w:noHBand="0" w:noVBand="1"/>
      </w:tblPr>
      <w:tblGrid>
        <w:gridCol w:w="3235"/>
        <w:gridCol w:w="2997"/>
        <w:gridCol w:w="2048"/>
      </w:tblGrid>
      <w:tr w:rsidR="00E5383B" w:rsidRPr="00E5383B" w14:paraId="64363314" w14:textId="77777777" w:rsidTr="00E5383B">
        <w:trPr>
          <w:trHeight w:val="543"/>
        </w:trPr>
        <w:tc>
          <w:tcPr>
            <w:tcW w:w="32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2DB1CA" w14:textId="77777777" w:rsidR="00E5383B" w:rsidRPr="00E5383B" w:rsidRDefault="00E5383B" w:rsidP="00E5383B">
            <w:pPr>
              <w:spacing w:after="0" w:line="240" w:lineRule="auto"/>
              <w:jc w:val="center"/>
              <w:rPr>
                <w:rFonts w:ascii="Times New Roman" w:eastAsia="Times New Roman" w:hAnsi="Times New Roman" w:cs="Times New Roman"/>
                <w:b/>
                <w:bCs/>
                <w:color w:val="000000"/>
                <w:sz w:val="24"/>
                <w:szCs w:val="24"/>
                <w:lang w:eastAsia="tr-TR"/>
              </w:rPr>
            </w:pPr>
            <w:r w:rsidRPr="00E5383B">
              <w:rPr>
                <w:rFonts w:ascii="Times New Roman" w:eastAsia="Times New Roman" w:hAnsi="Times New Roman" w:cs="Times New Roman"/>
                <w:b/>
                <w:bCs/>
                <w:color w:val="000000"/>
                <w:sz w:val="24"/>
                <w:szCs w:val="24"/>
                <w:lang w:eastAsia="tr-TR"/>
              </w:rPr>
              <w:t>Dönem Faaliyet Giderleri Dağılımı</w:t>
            </w:r>
          </w:p>
        </w:tc>
        <w:tc>
          <w:tcPr>
            <w:tcW w:w="2997" w:type="dxa"/>
            <w:tcBorders>
              <w:top w:val="single" w:sz="8" w:space="0" w:color="auto"/>
              <w:left w:val="nil"/>
              <w:bottom w:val="single" w:sz="4" w:space="0" w:color="auto"/>
              <w:right w:val="single" w:sz="4" w:space="0" w:color="auto"/>
            </w:tcBorders>
            <w:shd w:val="clear" w:color="auto" w:fill="auto"/>
            <w:vAlign w:val="center"/>
            <w:hideMark/>
          </w:tcPr>
          <w:p w14:paraId="4B0A67CD" w14:textId="77777777" w:rsidR="00E5383B" w:rsidRPr="00E5383B" w:rsidRDefault="00E5383B" w:rsidP="00E5383B">
            <w:pPr>
              <w:spacing w:after="0" w:line="240" w:lineRule="auto"/>
              <w:jc w:val="center"/>
              <w:rPr>
                <w:rFonts w:ascii="Times New Roman" w:eastAsia="Times New Roman" w:hAnsi="Times New Roman" w:cs="Times New Roman"/>
                <w:b/>
                <w:bCs/>
                <w:color w:val="000000"/>
                <w:sz w:val="24"/>
                <w:szCs w:val="24"/>
                <w:lang w:eastAsia="tr-TR"/>
              </w:rPr>
            </w:pPr>
            <w:r w:rsidRPr="00E5383B">
              <w:rPr>
                <w:rFonts w:ascii="Times New Roman" w:eastAsia="Times New Roman" w:hAnsi="Times New Roman" w:cs="Times New Roman"/>
                <w:b/>
                <w:bCs/>
                <w:color w:val="000000"/>
                <w:sz w:val="24"/>
                <w:szCs w:val="24"/>
                <w:lang w:eastAsia="tr-TR"/>
              </w:rPr>
              <w:t>Portföy Değerine Oranı (%)</w:t>
            </w:r>
          </w:p>
        </w:tc>
        <w:tc>
          <w:tcPr>
            <w:tcW w:w="2047" w:type="dxa"/>
            <w:tcBorders>
              <w:top w:val="single" w:sz="8" w:space="0" w:color="auto"/>
              <w:left w:val="nil"/>
              <w:bottom w:val="single" w:sz="4" w:space="0" w:color="auto"/>
              <w:right w:val="single" w:sz="8" w:space="0" w:color="auto"/>
            </w:tcBorders>
            <w:shd w:val="clear" w:color="auto" w:fill="auto"/>
            <w:vAlign w:val="center"/>
            <w:hideMark/>
          </w:tcPr>
          <w:p w14:paraId="693D0002" w14:textId="77777777" w:rsidR="00E5383B" w:rsidRPr="00E5383B" w:rsidRDefault="00E5383B" w:rsidP="00E5383B">
            <w:pPr>
              <w:spacing w:after="0" w:line="240" w:lineRule="auto"/>
              <w:jc w:val="center"/>
              <w:rPr>
                <w:rFonts w:ascii="Times New Roman" w:eastAsia="Times New Roman" w:hAnsi="Times New Roman" w:cs="Times New Roman"/>
                <w:b/>
                <w:bCs/>
                <w:color w:val="000000"/>
                <w:sz w:val="24"/>
                <w:szCs w:val="24"/>
                <w:lang w:eastAsia="tr-TR"/>
              </w:rPr>
            </w:pPr>
            <w:r w:rsidRPr="00E5383B">
              <w:rPr>
                <w:rFonts w:ascii="Times New Roman" w:eastAsia="Times New Roman" w:hAnsi="Times New Roman" w:cs="Times New Roman"/>
                <w:b/>
                <w:bCs/>
                <w:color w:val="000000"/>
                <w:sz w:val="24"/>
                <w:szCs w:val="24"/>
                <w:lang w:eastAsia="tr-TR"/>
              </w:rPr>
              <w:t>Tutar (TL)</w:t>
            </w:r>
          </w:p>
        </w:tc>
      </w:tr>
      <w:tr w:rsidR="00E5383B" w:rsidRPr="00E5383B" w14:paraId="3F9AA0B3" w14:textId="77777777" w:rsidTr="00E5383B">
        <w:trPr>
          <w:trHeight w:val="271"/>
        </w:trPr>
        <w:tc>
          <w:tcPr>
            <w:tcW w:w="3235" w:type="dxa"/>
            <w:tcBorders>
              <w:top w:val="nil"/>
              <w:left w:val="single" w:sz="8" w:space="0" w:color="auto"/>
              <w:bottom w:val="single" w:sz="4" w:space="0" w:color="auto"/>
              <w:right w:val="single" w:sz="4" w:space="0" w:color="auto"/>
            </w:tcBorders>
            <w:shd w:val="clear" w:color="auto" w:fill="auto"/>
            <w:noWrap/>
            <w:vAlign w:val="bottom"/>
            <w:hideMark/>
          </w:tcPr>
          <w:p w14:paraId="0E5264C1" w14:textId="77777777" w:rsidR="00E5383B" w:rsidRPr="00E5383B" w:rsidRDefault="00E5383B" w:rsidP="00E5383B">
            <w:pPr>
              <w:spacing w:after="0" w:line="240" w:lineRule="auto"/>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Yönetim Ücreti</w:t>
            </w:r>
          </w:p>
        </w:tc>
        <w:tc>
          <w:tcPr>
            <w:tcW w:w="2997" w:type="dxa"/>
            <w:tcBorders>
              <w:top w:val="nil"/>
              <w:left w:val="nil"/>
              <w:bottom w:val="single" w:sz="4" w:space="0" w:color="auto"/>
              <w:right w:val="single" w:sz="8" w:space="0" w:color="auto"/>
            </w:tcBorders>
            <w:shd w:val="clear" w:color="auto" w:fill="auto"/>
            <w:noWrap/>
            <w:vAlign w:val="bottom"/>
            <w:hideMark/>
          </w:tcPr>
          <w:p w14:paraId="09EFF577"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1.34</w:t>
            </w:r>
          </w:p>
        </w:tc>
        <w:tc>
          <w:tcPr>
            <w:tcW w:w="2047" w:type="dxa"/>
            <w:tcBorders>
              <w:top w:val="nil"/>
              <w:left w:val="single" w:sz="4" w:space="0" w:color="auto"/>
              <w:bottom w:val="single" w:sz="4" w:space="0" w:color="auto"/>
              <w:right w:val="single" w:sz="8" w:space="0" w:color="auto"/>
            </w:tcBorders>
            <w:shd w:val="clear" w:color="auto" w:fill="auto"/>
            <w:noWrap/>
            <w:vAlign w:val="bottom"/>
            <w:hideMark/>
          </w:tcPr>
          <w:p w14:paraId="55A8964B"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66,450,954.85</w:t>
            </w:r>
          </w:p>
        </w:tc>
      </w:tr>
      <w:tr w:rsidR="00E5383B" w:rsidRPr="00E5383B" w14:paraId="00A645DB" w14:textId="77777777" w:rsidTr="00E5383B">
        <w:trPr>
          <w:trHeight w:val="271"/>
        </w:trPr>
        <w:tc>
          <w:tcPr>
            <w:tcW w:w="3235" w:type="dxa"/>
            <w:tcBorders>
              <w:top w:val="nil"/>
              <w:left w:val="single" w:sz="8" w:space="0" w:color="auto"/>
              <w:bottom w:val="single" w:sz="4" w:space="0" w:color="auto"/>
              <w:right w:val="single" w:sz="4" w:space="0" w:color="auto"/>
            </w:tcBorders>
            <w:shd w:val="clear" w:color="auto" w:fill="auto"/>
            <w:noWrap/>
            <w:vAlign w:val="bottom"/>
            <w:hideMark/>
          </w:tcPr>
          <w:p w14:paraId="2A13CA9F" w14:textId="77777777" w:rsidR="00E5383B" w:rsidRPr="00E5383B" w:rsidRDefault="00E5383B" w:rsidP="00E5383B">
            <w:pPr>
              <w:spacing w:after="0" w:line="240" w:lineRule="auto"/>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Komisyon ve Diğer İşlem Ücretleri</w:t>
            </w:r>
          </w:p>
        </w:tc>
        <w:tc>
          <w:tcPr>
            <w:tcW w:w="2997" w:type="dxa"/>
            <w:tcBorders>
              <w:top w:val="nil"/>
              <w:left w:val="nil"/>
              <w:bottom w:val="single" w:sz="4" w:space="0" w:color="auto"/>
              <w:right w:val="single" w:sz="8" w:space="0" w:color="auto"/>
            </w:tcBorders>
            <w:shd w:val="clear" w:color="auto" w:fill="auto"/>
            <w:noWrap/>
            <w:vAlign w:val="bottom"/>
            <w:hideMark/>
          </w:tcPr>
          <w:p w14:paraId="5450F633"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0.04</w:t>
            </w:r>
          </w:p>
        </w:tc>
        <w:tc>
          <w:tcPr>
            <w:tcW w:w="2047" w:type="dxa"/>
            <w:tcBorders>
              <w:top w:val="nil"/>
              <w:left w:val="single" w:sz="4" w:space="0" w:color="auto"/>
              <w:bottom w:val="single" w:sz="4" w:space="0" w:color="auto"/>
              <w:right w:val="single" w:sz="8" w:space="0" w:color="auto"/>
            </w:tcBorders>
            <w:shd w:val="clear" w:color="auto" w:fill="auto"/>
            <w:noWrap/>
            <w:vAlign w:val="bottom"/>
            <w:hideMark/>
          </w:tcPr>
          <w:p w14:paraId="4101E475"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2,108,585.18</w:t>
            </w:r>
          </w:p>
        </w:tc>
      </w:tr>
      <w:tr w:rsidR="00E5383B" w:rsidRPr="00E5383B" w14:paraId="1CAB482E" w14:textId="77777777" w:rsidTr="00E5383B">
        <w:trPr>
          <w:trHeight w:val="271"/>
        </w:trPr>
        <w:tc>
          <w:tcPr>
            <w:tcW w:w="3235" w:type="dxa"/>
            <w:tcBorders>
              <w:top w:val="nil"/>
              <w:left w:val="single" w:sz="8" w:space="0" w:color="auto"/>
              <w:bottom w:val="single" w:sz="4" w:space="0" w:color="auto"/>
              <w:right w:val="single" w:sz="4" w:space="0" w:color="auto"/>
            </w:tcBorders>
            <w:shd w:val="clear" w:color="auto" w:fill="auto"/>
            <w:noWrap/>
            <w:vAlign w:val="bottom"/>
            <w:hideMark/>
          </w:tcPr>
          <w:p w14:paraId="05D2A4E0" w14:textId="77777777" w:rsidR="00E5383B" w:rsidRPr="00E5383B" w:rsidRDefault="00E5383B" w:rsidP="00E5383B">
            <w:pPr>
              <w:spacing w:after="0" w:line="240" w:lineRule="auto"/>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Saklama Ücreti</w:t>
            </w:r>
          </w:p>
        </w:tc>
        <w:tc>
          <w:tcPr>
            <w:tcW w:w="2997" w:type="dxa"/>
            <w:tcBorders>
              <w:top w:val="nil"/>
              <w:left w:val="nil"/>
              <w:bottom w:val="single" w:sz="4" w:space="0" w:color="auto"/>
              <w:right w:val="single" w:sz="8" w:space="0" w:color="auto"/>
            </w:tcBorders>
            <w:shd w:val="clear" w:color="auto" w:fill="auto"/>
            <w:noWrap/>
            <w:vAlign w:val="bottom"/>
            <w:hideMark/>
          </w:tcPr>
          <w:p w14:paraId="7D0BCF55"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0.04</w:t>
            </w:r>
          </w:p>
        </w:tc>
        <w:tc>
          <w:tcPr>
            <w:tcW w:w="2047" w:type="dxa"/>
            <w:tcBorders>
              <w:top w:val="nil"/>
              <w:left w:val="single" w:sz="4" w:space="0" w:color="auto"/>
              <w:bottom w:val="single" w:sz="4" w:space="0" w:color="auto"/>
              <w:right w:val="single" w:sz="8" w:space="0" w:color="auto"/>
            </w:tcBorders>
            <w:shd w:val="clear" w:color="auto" w:fill="auto"/>
            <w:noWrap/>
            <w:vAlign w:val="bottom"/>
            <w:hideMark/>
          </w:tcPr>
          <w:p w14:paraId="491DF0CA"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1,987,147.39</w:t>
            </w:r>
          </w:p>
        </w:tc>
      </w:tr>
      <w:tr w:rsidR="00E5383B" w:rsidRPr="00E5383B" w14:paraId="61A3B66B" w14:textId="77777777" w:rsidTr="00E5383B">
        <w:trPr>
          <w:trHeight w:val="271"/>
        </w:trPr>
        <w:tc>
          <w:tcPr>
            <w:tcW w:w="3235" w:type="dxa"/>
            <w:tcBorders>
              <w:top w:val="nil"/>
              <w:left w:val="single" w:sz="8" w:space="0" w:color="auto"/>
              <w:bottom w:val="single" w:sz="4" w:space="0" w:color="auto"/>
              <w:right w:val="single" w:sz="4" w:space="0" w:color="auto"/>
            </w:tcBorders>
            <w:shd w:val="clear" w:color="auto" w:fill="auto"/>
            <w:noWrap/>
            <w:vAlign w:val="bottom"/>
            <w:hideMark/>
          </w:tcPr>
          <w:p w14:paraId="71FCDB88" w14:textId="77777777" w:rsidR="00E5383B" w:rsidRPr="00E5383B" w:rsidRDefault="00E5383B" w:rsidP="00E5383B">
            <w:pPr>
              <w:spacing w:after="0" w:line="240" w:lineRule="auto"/>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Kurul Ücretleri</w:t>
            </w:r>
          </w:p>
        </w:tc>
        <w:tc>
          <w:tcPr>
            <w:tcW w:w="2997" w:type="dxa"/>
            <w:tcBorders>
              <w:top w:val="nil"/>
              <w:left w:val="nil"/>
              <w:bottom w:val="single" w:sz="4" w:space="0" w:color="auto"/>
              <w:right w:val="single" w:sz="8" w:space="0" w:color="auto"/>
            </w:tcBorders>
            <w:shd w:val="clear" w:color="auto" w:fill="auto"/>
            <w:noWrap/>
            <w:vAlign w:val="bottom"/>
            <w:hideMark/>
          </w:tcPr>
          <w:p w14:paraId="0C7EF3E9"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0.01</w:t>
            </w:r>
          </w:p>
        </w:tc>
        <w:tc>
          <w:tcPr>
            <w:tcW w:w="2047" w:type="dxa"/>
            <w:tcBorders>
              <w:top w:val="nil"/>
              <w:left w:val="single" w:sz="4" w:space="0" w:color="auto"/>
              <w:bottom w:val="single" w:sz="4" w:space="0" w:color="auto"/>
              <w:right w:val="single" w:sz="8" w:space="0" w:color="auto"/>
            </w:tcBorders>
            <w:shd w:val="clear" w:color="auto" w:fill="auto"/>
            <w:noWrap/>
            <w:vAlign w:val="bottom"/>
            <w:hideMark/>
          </w:tcPr>
          <w:p w14:paraId="7D5FDCBA"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508,448.78</w:t>
            </w:r>
          </w:p>
        </w:tc>
      </w:tr>
      <w:tr w:rsidR="00E5383B" w:rsidRPr="00E5383B" w14:paraId="4F533196" w14:textId="77777777" w:rsidTr="00E5383B">
        <w:trPr>
          <w:trHeight w:val="271"/>
        </w:trPr>
        <w:tc>
          <w:tcPr>
            <w:tcW w:w="3235" w:type="dxa"/>
            <w:tcBorders>
              <w:top w:val="nil"/>
              <w:left w:val="single" w:sz="8" w:space="0" w:color="auto"/>
              <w:bottom w:val="single" w:sz="4" w:space="0" w:color="auto"/>
              <w:right w:val="single" w:sz="4" w:space="0" w:color="auto"/>
            </w:tcBorders>
            <w:shd w:val="clear" w:color="auto" w:fill="auto"/>
            <w:noWrap/>
            <w:vAlign w:val="bottom"/>
            <w:hideMark/>
          </w:tcPr>
          <w:p w14:paraId="609A019C" w14:textId="77777777" w:rsidR="00E5383B" w:rsidRPr="00E5383B" w:rsidRDefault="00E5383B" w:rsidP="00E5383B">
            <w:pPr>
              <w:spacing w:after="0" w:line="240" w:lineRule="auto"/>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Bağımsız Denetim Ücreti</w:t>
            </w:r>
          </w:p>
        </w:tc>
        <w:tc>
          <w:tcPr>
            <w:tcW w:w="2997" w:type="dxa"/>
            <w:tcBorders>
              <w:top w:val="nil"/>
              <w:left w:val="nil"/>
              <w:bottom w:val="single" w:sz="4" w:space="0" w:color="auto"/>
              <w:right w:val="single" w:sz="8" w:space="0" w:color="auto"/>
            </w:tcBorders>
            <w:shd w:val="clear" w:color="auto" w:fill="auto"/>
            <w:noWrap/>
            <w:vAlign w:val="bottom"/>
            <w:hideMark/>
          </w:tcPr>
          <w:p w14:paraId="0F3C963E"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0.00</w:t>
            </w:r>
          </w:p>
        </w:tc>
        <w:tc>
          <w:tcPr>
            <w:tcW w:w="2047" w:type="dxa"/>
            <w:tcBorders>
              <w:top w:val="nil"/>
              <w:left w:val="single" w:sz="4" w:space="0" w:color="auto"/>
              <w:bottom w:val="single" w:sz="4" w:space="0" w:color="auto"/>
              <w:right w:val="single" w:sz="8" w:space="0" w:color="auto"/>
            </w:tcBorders>
            <w:shd w:val="clear" w:color="auto" w:fill="auto"/>
            <w:noWrap/>
            <w:vAlign w:val="bottom"/>
            <w:hideMark/>
          </w:tcPr>
          <w:p w14:paraId="225C7076"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10,584.88</w:t>
            </w:r>
          </w:p>
        </w:tc>
      </w:tr>
      <w:tr w:rsidR="00E5383B" w:rsidRPr="00E5383B" w14:paraId="5286817D" w14:textId="77777777" w:rsidTr="00E5383B">
        <w:trPr>
          <w:trHeight w:val="271"/>
        </w:trPr>
        <w:tc>
          <w:tcPr>
            <w:tcW w:w="3235" w:type="dxa"/>
            <w:tcBorders>
              <w:top w:val="nil"/>
              <w:left w:val="single" w:sz="8" w:space="0" w:color="auto"/>
              <w:bottom w:val="single" w:sz="4" w:space="0" w:color="auto"/>
              <w:right w:val="single" w:sz="4" w:space="0" w:color="auto"/>
            </w:tcBorders>
            <w:shd w:val="clear" w:color="auto" w:fill="auto"/>
            <w:noWrap/>
            <w:vAlign w:val="bottom"/>
            <w:hideMark/>
          </w:tcPr>
          <w:p w14:paraId="45A235B6" w14:textId="77777777" w:rsidR="00E5383B" w:rsidRPr="00E5383B" w:rsidRDefault="00E5383B" w:rsidP="00E5383B">
            <w:pPr>
              <w:spacing w:after="0" w:line="240" w:lineRule="auto"/>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Diğer Giderler</w:t>
            </w:r>
          </w:p>
        </w:tc>
        <w:tc>
          <w:tcPr>
            <w:tcW w:w="2997" w:type="dxa"/>
            <w:tcBorders>
              <w:top w:val="nil"/>
              <w:left w:val="nil"/>
              <w:bottom w:val="single" w:sz="4" w:space="0" w:color="auto"/>
              <w:right w:val="single" w:sz="8" w:space="0" w:color="auto"/>
            </w:tcBorders>
            <w:shd w:val="clear" w:color="auto" w:fill="auto"/>
            <w:noWrap/>
            <w:vAlign w:val="bottom"/>
            <w:hideMark/>
          </w:tcPr>
          <w:p w14:paraId="7AF3685F"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0.00</w:t>
            </w:r>
          </w:p>
        </w:tc>
        <w:tc>
          <w:tcPr>
            <w:tcW w:w="2047" w:type="dxa"/>
            <w:tcBorders>
              <w:top w:val="nil"/>
              <w:left w:val="single" w:sz="4" w:space="0" w:color="auto"/>
              <w:bottom w:val="single" w:sz="4" w:space="0" w:color="auto"/>
              <w:right w:val="single" w:sz="8" w:space="0" w:color="auto"/>
            </w:tcBorders>
            <w:shd w:val="clear" w:color="auto" w:fill="auto"/>
            <w:noWrap/>
            <w:vAlign w:val="bottom"/>
            <w:hideMark/>
          </w:tcPr>
          <w:p w14:paraId="66F7FBDF"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124,227.29</w:t>
            </w:r>
          </w:p>
        </w:tc>
      </w:tr>
      <w:tr w:rsidR="00E5383B" w:rsidRPr="00E5383B" w14:paraId="274EB6FC" w14:textId="77777777" w:rsidTr="00E5383B">
        <w:trPr>
          <w:trHeight w:val="284"/>
        </w:trPr>
        <w:tc>
          <w:tcPr>
            <w:tcW w:w="3235" w:type="dxa"/>
            <w:tcBorders>
              <w:top w:val="nil"/>
              <w:left w:val="single" w:sz="8" w:space="0" w:color="auto"/>
              <w:bottom w:val="single" w:sz="8" w:space="0" w:color="auto"/>
              <w:right w:val="single" w:sz="4" w:space="0" w:color="auto"/>
            </w:tcBorders>
            <w:shd w:val="clear" w:color="auto" w:fill="auto"/>
            <w:noWrap/>
            <w:vAlign w:val="bottom"/>
            <w:hideMark/>
          </w:tcPr>
          <w:p w14:paraId="0D226C55" w14:textId="77777777" w:rsidR="00E5383B" w:rsidRPr="00E5383B" w:rsidRDefault="00E5383B" w:rsidP="00E5383B">
            <w:pPr>
              <w:spacing w:after="0" w:line="240" w:lineRule="auto"/>
              <w:rPr>
                <w:rFonts w:ascii="Times New Roman" w:eastAsia="Times New Roman" w:hAnsi="Times New Roman" w:cs="Times New Roman"/>
                <w:b/>
                <w:bCs/>
                <w:color w:val="000000"/>
                <w:sz w:val="24"/>
                <w:szCs w:val="24"/>
                <w:lang w:eastAsia="tr-TR"/>
              </w:rPr>
            </w:pPr>
            <w:r w:rsidRPr="00E5383B">
              <w:rPr>
                <w:rFonts w:ascii="Times New Roman" w:eastAsia="Times New Roman" w:hAnsi="Times New Roman" w:cs="Times New Roman"/>
                <w:b/>
                <w:bCs/>
                <w:color w:val="000000"/>
                <w:sz w:val="24"/>
                <w:szCs w:val="24"/>
                <w:lang w:eastAsia="tr-TR"/>
              </w:rPr>
              <w:t>Toplam</w:t>
            </w:r>
          </w:p>
        </w:tc>
        <w:tc>
          <w:tcPr>
            <w:tcW w:w="2997" w:type="dxa"/>
            <w:tcBorders>
              <w:top w:val="nil"/>
              <w:left w:val="nil"/>
              <w:bottom w:val="single" w:sz="8" w:space="0" w:color="auto"/>
              <w:right w:val="single" w:sz="4" w:space="0" w:color="auto"/>
            </w:tcBorders>
            <w:shd w:val="clear" w:color="auto" w:fill="auto"/>
            <w:noWrap/>
            <w:vAlign w:val="bottom"/>
            <w:hideMark/>
          </w:tcPr>
          <w:p w14:paraId="7CA2BD23" w14:textId="77777777" w:rsidR="00E5383B" w:rsidRPr="00E5383B" w:rsidRDefault="00E5383B" w:rsidP="00E5383B">
            <w:pPr>
              <w:spacing w:after="0" w:line="240" w:lineRule="auto"/>
              <w:jc w:val="center"/>
              <w:rPr>
                <w:rFonts w:ascii="Times New Roman" w:eastAsia="Times New Roman" w:hAnsi="Times New Roman" w:cs="Times New Roman"/>
                <w:b/>
                <w:bCs/>
                <w:color w:val="000000"/>
                <w:sz w:val="24"/>
                <w:szCs w:val="24"/>
                <w:lang w:eastAsia="tr-TR"/>
              </w:rPr>
            </w:pPr>
            <w:r w:rsidRPr="00E5383B">
              <w:rPr>
                <w:rFonts w:ascii="Times New Roman" w:eastAsia="Times New Roman" w:hAnsi="Times New Roman" w:cs="Times New Roman"/>
                <w:b/>
                <w:bCs/>
                <w:color w:val="000000"/>
                <w:sz w:val="24"/>
                <w:szCs w:val="24"/>
                <w:lang w:eastAsia="tr-TR"/>
              </w:rPr>
              <w:t>1.44</w:t>
            </w:r>
          </w:p>
        </w:tc>
        <w:tc>
          <w:tcPr>
            <w:tcW w:w="2047" w:type="dxa"/>
            <w:tcBorders>
              <w:top w:val="nil"/>
              <w:left w:val="nil"/>
              <w:bottom w:val="single" w:sz="4" w:space="0" w:color="auto"/>
              <w:right w:val="single" w:sz="8" w:space="0" w:color="auto"/>
            </w:tcBorders>
            <w:shd w:val="clear" w:color="auto" w:fill="auto"/>
            <w:noWrap/>
            <w:vAlign w:val="bottom"/>
            <w:hideMark/>
          </w:tcPr>
          <w:p w14:paraId="0A3ED3C4" w14:textId="77777777" w:rsidR="00E5383B" w:rsidRPr="00E5383B" w:rsidRDefault="00E5383B" w:rsidP="00E5383B">
            <w:pPr>
              <w:spacing w:after="0" w:line="240" w:lineRule="auto"/>
              <w:jc w:val="center"/>
              <w:rPr>
                <w:rFonts w:ascii="Times New Roman" w:eastAsia="Times New Roman" w:hAnsi="Times New Roman" w:cs="Times New Roman"/>
                <w:b/>
                <w:bCs/>
                <w:color w:val="000000"/>
                <w:sz w:val="24"/>
                <w:szCs w:val="24"/>
                <w:lang w:eastAsia="tr-TR"/>
              </w:rPr>
            </w:pPr>
            <w:r w:rsidRPr="00E5383B">
              <w:rPr>
                <w:rFonts w:ascii="Times New Roman" w:eastAsia="Times New Roman" w:hAnsi="Times New Roman" w:cs="Times New Roman"/>
                <w:b/>
                <w:bCs/>
                <w:color w:val="000000"/>
                <w:sz w:val="24"/>
                <w:szCs w:val="24"/>
                <w:lang w:eastAsia="tr-TR"/>
              </w:rPr>
              <w:t>71,189,948.37</w:t>
            </w:r>
          </w:p>
        </w:tc>
      </w:tr>
      <w:tr w:rsidR="00E5383B" w:rsidRPr="00E5383B" w14:paraId="52709E78" w14:textId="77777777" w:rsidTr="00E5383B">
        <w:trPr>
          <w:trHeight w:val="271"/>
        </w:trPr>
        <w:tc>
          <w:tcPr>
            <w:tcW w:w="3235" w:type="dxa"/>
            <w:tcBorders>
              <w:top w:val="nil"/>
              <w:left w:val="nil"/>
              <w:bottom w:val="nil"/>
              <w:right w:val="nil"/>
            </w:tcBorders>
            <w:shd w:val="clear" w:color="auto" w:fill="auto"/>
            <w:noWrap/>
            <w:vAlign w:val="bottom"/>
            <w:hideMark/>
          </w:tcPr>
          <w:p w14:paraId="11CE9E8B" w14:textId="77777777" w:rsidR="00E5383B" w:rsidRPr="00E5383B" w:rsidRDefault="00E5383B" w:rsidP="00E5383B">
            <w:pPr>
              <w:spacing w:after="0" w:line="240" w:lineRule="auto"/>
              <w:jc w:val="center"/>
              <w:rPr>
                <w:rFonts w:ascii="Times New Roman" w:eastAsia="Times New Roman" w:hAnsi="Times New Roman" w:cs="Times New Roman"/>
                <w:b/>
                <w:bCs/>
                <w:color w:val="000000"/>
                <w:sz w:val="24"/>
                <w:szCs w:val="24"/>
                <w:lang w:eastAsia="tr-TR"/>
              </w:rPr>
            </w:pPr>
          </w:p>
        </w:tc>
        <w:tc>
          <w:tcPr>
            <w:tcW w:w="2997" w:type="dxa"/>
            <w:tcBorders>
              <w:top w:val="nil"/>
              <w:left w:val="nil"/>
              <w:bottom w:val="nil"/>
              <w:right w:val="nil"/>
            </w:tcBorders>
            <w:shd w:val="clear" w:color="auto" w:fill="auto"/>
            <w:noWrap/>
            <w:vAlign w:val="bottom"/>
            <w:hideMark/>
          </w:tcPr>
          <w:p w14:paraId="3EA4E86D" w14:textId="77777777" w:rsidR="00E5383B" w:rsidRPr="00E5383B" w:rsidRDefault="00E5383B" w:rsidP="00E5383B">
            <w:pPr>
              <w:spacing w:after="0" w:line="240" w:lineRule="auto"/>
              <w:rPr>
                <w:rFonts w:ascii="Times New Roman" w:eastAsia="Times New Roman" w:hAnsi="Times New Roman" w:cs="Times New Roman"/>
                <w:sz w:val="20"/>
                <w:szCs w:val="20"/>
                <w:lang w:eastAsia="tr-TR"/>
              </w:rPr>
            </w:pPr>
          </w:p>
        </w:tc>
        <w:tc>
          <w:tcPr>
            <w:tcW w:w="2047" w:type="dxa"/>
            <w:tcBorders>
              <w:top w:val="nil"/>
              <w:left w:val="nil"/>
              <w:bottom w:val="nil"/>
              <w:right w:val="nil"/>
            </w:tcBorders>
            <w:shd w:val="clear" w:color="auto" w:fill="auto"/>
            <w:noWrap/>
            <w:vAlign w:val="bottom"/>
            <w:hideMark/>
          </w:tcPr>
          <w:p w14:paraId="577584B3" w14:textId="77777777" w:rsidR="00E5383B" w:rsidRPr="00E5383B" w:rsidRDefault="00E5383B" w:rsidP="00E5383B">
            <w:pPr>
              <w:spacing w:after="0" w:line="240" w:lineRule="auto"/>
              <w:rPr>
                <w:rFonts w:ascii="Times New Roman" w:eastAsia="Times New Roman" w:hAnsi="Times New Roman" w:cs="Times New Roman"/>
                <w:sz w:val="20"/>
                <w:szCs w:val="20"/>
                <w:lang w:eastAsia="tr-TR"/>
              </w:rPr>
            </w:pPr>
          </w:p>
        </w:tc>
      </w:tr>
      <w:tr w:rsidR="00E5383B" w:rsidRPr="00E5383B" w14:paraId="45A60A22" w14:textId="77777777" w:rsidTr="00E5383B">
        <w:trPr>
          <w:trHeight w:val="284"/>
        </w:trPr>
        <w:tc>
          <w:tcPr>
            <w:tcW w:w="3235" w:type="dxa"/>
            <w:tcBorders>
              <w:top w:val="nil"/>
              <w:left w:val="nil"/>
              <w:bottom w:val="nil"/>
              <w:right w:val="nil"/>
            </w:tcBorders>
            <w:shd w:val="clear" w:color="auto" w:fill="auto"/>
            <w:noWrap/>
            <w:vAlign w:val="bottom"/>
            <w:hideMark/>
          </w:tcPr>
          <w:p w14:paraId="457C3A75" w14:textId="77777777" w:rsidR="00E5383B" w:rsidRPr="00E5383B" w:rsidRDefault="00E5383B" w:rsidP="00E5383B">
            <w:pPr>
              <w:spacing w:after="0" w:line="240" w:lineRule="auto"/>
              <w:rPr>
                <w:rFonts w:ascii="Times New Roman" w:eastAsia="Times New Roman" w:hAnsi="Times New Roman" w:cs="Times New Roman"/>
                <w:sz w:val="20"/>
                <w:szCs w:val="20"/>
                <w:lang w:eastAsia="tr-TR"/>
              </w:rPr>
            </w:pPr>
          </w:p>
        </w:tc>
        <w:tc>
          <w:tcPr>
            <w:tcW w:w="2997" w:type="dxa"/>
            <w:tcBorders>
              <w:top w:val="nil"/>
              <w:left w:val="nil"/>
              <w:bottom w:val="nil"/>
              <w:right w:val="nil"/>
            </w:tcBorders>
            <w:shd w:val="clear" w:color="auto" w:fill="auto"/>
            <w:noWrap/>
            <w:vAlign w:val="bottom"/>
            <w:hideMark/>
          </w:tcPr>
          <w:p w14:paraId="49DB84AD" w14:textId="77777777" w:rsidR="00E5383B" w:rsidRPr="00E5383B" w:rsidRDefault="00E5383B" w:rsidP="00E5383B">
            <w:pPr>
              <w:spacing w:after="0" w:line="240" w:lineRule="auto"/>
              <w:rPr>
                <w:rFonts w:ascii="Times New Roman" w:eastAsia="Times New Roman" w:hAnsi="Times New Roman" w:cs="Times New Roman"/>
                <w:sz w:val="20"/>
                <w:szCs w:val="20"/>
                <w:lang w:eastAsia="tr-TR"/>
              </w:rPr>
            </w:pPr>
          </w:p>
        </w:tc>
        <w:tc>
          <w:tcPr>
            <w:tcW w:w="2047" w:type="dxa"/>
            <w:tcBorders>
              <w:top w:val="nil"/>
              <w:left w:val="nil"/>
              <w:bottom w:val="nil"/>
              <w:right w:val="nil"/>
            </w:tcBorders>
            <w:shd w:val="clear" w:color="auto" w:fill="auto"/>
            <w:noWrap/>
            <w:vAlign w:val="bottom"/>
            <w:hideMark/>
          </w:tcPr>
          <w:p w14:paraId="057DC974" w14:textId="77777777" w:rsidR="00E5383B" w:rsidRPr="00E5383B" w:rsidRDefault="00E5383B" w:rsidP="00E5383B">
            <w:pPr>
              <w:spacing w:after="0" w:line="240" w:lineRule="auto"/>
              <w:rPr>
                <w:rFonts w:ascii="Times New Roman" w:eastAsia="Times New Roman" w:hAnsi="Times New Roman" w:cs="Times New Roman"/>
                <w:sz w:val="20"/>
                <w:szCs w:val="20"/>
                <w:lang w:eastAsia="tr-TR"/>
              </w:rPr>
            </w:pPr>
          </w:p>
        </w:tc>
      </w:tr>
      <w:tr w:rsidR="00E5383B" w:rsidRPr="00E5383B" w14:paraId="544518FB" w14:textId="77777777" w:rsidTr="00E5383B">
        <w:trPr>
          <w:trHeight w:val="271"/>
        </w:trPr>
        <w:tc>
          <w:tcPr>
            <w:tcW w:w="82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DDF8D86" w14:textId="77777777" w:rsidR="00E5383B" w:rsidRPr="00E5383B" w:rsidRDefault="00E5383B" w:rsidP="00E5383B">
            <w:pPr>
              <w:spacing w:after="0" w:line="240" w:lineRule="auto"/>
              <w:jc w:val="center"/>
              <w:rPr>
                <w:rFonts w:ascii="Times New Roman" w:eastAsia="Times New Roman" w:hAnsi="Times New Roman" w:cs="Times New Roman"/>
                <w:b/>
                <w:bCs/>
                <w:color w:val="000000"/>
                <w:sz w:val="24"/>
                <w:szCs w:val="24"/>
                <w:lang w:eastAsia="tr-TR"/>
              </w:rPr>
            </w:pPr>
            <w:r w:rsidRPr="00E5383B">
              <w:rPr>
                <w:rFonts w:ascii="Times New Roman" w:eastAsia="Times New Roman" w:hAnsi="Times New Roman" w:cs="Times New Roman"/>
                <w:b/>
                <w:bCs/>
                <w:color w:val="000000"/>
                <w:sz w:val="24"/>
                <w:szCs w:val="24"/>
                <w:lang w:eastAsia="tr-TR"/>
              </w:rPr>
              <w:t>01 Ocak - 30 Haziran 2024</w:t>
            </w:r>
          </w:p>
        </w:tc>
      </w:tr>
      <w:tr w:rsidR="00E5383B" w:rsidRPr="00E5383B" w14:paraId="513121EF" w14:textId="77777777" w:rsidTr="00E5383B">
        <w:trPr>
          <w:trHeight w:val="271"/>
        </w:trPr>
        <w:tc>
          <w:tcPr>
            <w:tcW w:w="6232"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DC4413" w14:textId="77777777" w:rsidR="00E5383B" w:rsidRPr="00E5383B" w:rsidRDefault="00E5383B" w:rsidP="00E5383B">
            <w:pPr>
              <w:spacing w:after="0" w:line="240" w:lineRule="auto"/>
              <w:rPr>
                <w:rFonts w:ascii="Times New Roman" w:eastAsia="Times New Roman" w:hAnsi="Times New Roman" w:cs="Times New Roman"/>
                <w:sz w:val="24"/>
                <w:szCs w:val="24"/>
                <w:lang w:eastAsia="tr-TR"/>
              </w:rPr>
            </w:pPr>
            <w:r w:rsidRPr="00E5383B">
              <w:rPr>
                <w:rFonts w:ascii="Times New Roman" w:eastAsia="Times New Roman" w:hAnsi="Times New Roman" w:cs="Times New Roman"/>
                <w:sz w:val="24"/>
                <w:szCs w:val="24"/>
                <w:lang w:eastAsia="tr-TR"/>
              </w:rPr>
              <w:t>Ortalama Fon Portföy Değeri</w:t>
            </w:r>
          </w:p>
        </w:tc>
        <w:tc>
          <w:tcPr>
            <w:tcW w:w="2047" w:type="dxa"/>
            <w:tcBorders>
              <w:top w:val="nil"/>
              <w:left w:val="nil"/>
              <w:bottom w:val="single" w:sz="4" w:space="0" w:color="auto"/>
              <w:right w:val="single" w:sz="8" w:space="0" w:color="auto"/>
            </w:tcBorders>
            <w:shd w:val="clear" w:color="auto" w:fill="auto"/>
            <w:noWrap/>
            <w:vAlign w:val="bottom"/>
            <w:hideMark/>
          </w:tcPr>
          <w:p w14:paraId="122C8684"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4,960,021,462.33</w:t>
            </w:r>
          </w:p>
        </w:tc>
      </w:tr>
      <w:tr w:rsidR="00E5383B" w:rsidRPr="00E5383B" w14:paraId="585BA679" w14:textId="77777777" w:rsidTr="00E5383B">
        <w:trPr>
          <w:trHeight w:val="271"/>
        </w:trPr>
        <w:tc>
          <w:tcPr>
            <w:tcW w:w="6232"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FBF90" w14:textId="77777777" w:rsidR="00E5383B" w:rsidRPr="00E5383B" w:rsidRDefault="00E5383B" w:rsidP="00E5383B">
            <w:pPr>
              <w:spacing w:after="0" w:line="240" w:lineRule="auto"/>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Toplam Faaliyet Giderleri</w:t>
            </w:r>
          </w:p>
        </w:tc>
        <w:tc>
          <w:tcPr>
            <w:tcW w:w="2047" w:type="dxa"/>
            <w:tcBorders>
              <w:top w:val="nil"/>
              <w:left w:val="nil"/>
              <w:bottom w:val="single" w:sz="4" w:space="0" w:color="auto"/>
              <w:right w:val="single" w:sz="8" w:space="0" w:color="auto"/>
            </w:tcBorders>
            <w:shd w:val="clear" w:color="auto" w:fill="auto"/>
            <w:noWrap/>
            <w:vAlign w:val="bottom"/>
            <w:hideMark/>
          </w:tcPr>
          <w:p w14:paraId="5C94ED2C" w14:textId="77777777" w:rsidR="00E5383B" w:rsidRPr="00E5383B" w:rsidRDefault="00E5383B" w:rsidP="00E5383B">
            <w:pPr>
              <w:spacing w:after="0" w:line="240" w:lineRule="auto"/>
              <w:jc w:val="center"/>
              <w:rPr>
                <w:rFonts w:ascii="Times New Roman" w:eastAsia="Times New Roman" w:hAnsi="Times New Roman" w:cs="Times New Roman"/>
                <w:color w:val="000000"/>
                <w:sz w:val="24"/>
                <w:szCs w:val="24"/>
                <w:lang w:eastAsia="tr-TR"/>
              </w:rPr>
            </w:pPr>
            <w:r w:rsidRPr="00E5383B">
              <w:rPr>
                <w:rFonts w:ascii="Times New Roman" w:eastAsia="Times New Roman" w:hAnsi="Times New Roman" w:cs="Times New Roman"/>
                <w:color w:val="000000"/>
                <w:sz w:val="24"/>
                <w:szCs w:val="24"/>
                <w:lang w:eastAsia="tr-TR"/>
              </w:rPr>
              <w:t>71,189,948.37</w:t>
            </w:r>
          </w:p>
        </w:tc>
      </w:tr>
      <w:tr w:rsidR="00E5383B" w:rsidRPr="00E5383B" w14:paraId="2554648B" w14:textId="77777777" w:rsidTr="00E5383B">
        <w:trPr>
          <w:trHeight w:val="284"/>
        </w:trPr>
        <w:tc>
          <w:tcPr>
            <w:tcW w:w="6232"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F0E429A" w14:textId="77777777" w:rsidR="00E5383B" w:rsidRPr="00E5383B" w:rsidRDefault="00E5383B" w:rsidP="00E5383B">
            <w:pPr>
              <w:spacing w:after="0" w:line="240" w:lineRule="auto"/>
              <w:rPr>
                <w:rFonts w:ascii="Times New Roman" w:eastAsia="Times New Roman" w:hAnsi="Times New Roman" w:cs="Times New Roman"/>
                <w:sz w:val="24"/>
                <w:szCs w:val="24"/>
                <w:lang w:eastAsia="tr-TR"/>
              </w:rPr>
            </w:pPr>
            <w:r w:rsidRPr="00E5383B">
              <w:rPr>
                <w:rFonts w:ascii="Times New Roman" w:eastAsia="Times New Roman" w:hAnsi="Times New Roman" w:cs="Times New Roman"/>
                <w:sz w:val="24"/>
                <w:szCs w:val="24"/>
                <w:lang w:eastAsia="tr-TR"/>
              </w:rPr>
              <w:t>Toplam Faaliyet Giderleri / Ortalama Portföy Değeri (%)</w:t>
            </w:r>
          </w:p>
        </w:tc>
        <w:tc>
          <w:tcPr>
            <w:tcW w:w="2047" w:type="dxa"/>
            <w:tcBorders>
              <w:top w:val="nil"/>
              <w:left w:val="nil"/>
              <w:bottom w:val="single" w:sz="8" w:space="0" w:color="auto"/>
              <w:right w:val="single" w:sz="8" w:space="0" w:color="auto"/>
            </w:tcBorders>
            <w:shd w:val="clear" w:color="auto" w:fill="auto"/>
            <w:noWrap/>
            <w:vAlign w:val="bottom"/>
            <w:hideMark/>
          </w:tcPr>
          <w:p w14:paraId="711DF532" w14:textId="77777777" w:rsidR="00E5383B" w:rsidRPr="00E5383B" w:rsidRDefault="00E5383B" w:rsidP="00E5383B">
            <w:pPr>
              <w:spacing w:after="0" w:line="240" w:lineRule="auto"/>
              <w:jc w:val="center"/>
              <w:rPr>
                <w:rFonts w:ascii="Times New Roman" w:eastAsia="Times New Roman" w:hAnsi="Times New Roman" w:cs="Times New Roman"/>
                <w:sz w:val="24"/>
                <w:szCs w:val="24"/>
                <w:lang w:eastAsia="tr-TR"/>
              </w:rPr>
            </w:pPr>
            <w:r w:rsidRPr="00E5383B">
              <w:rPr>
                <w:rFonts w:ascii="Times New Roman" w:eastAsia="Times New Roman" w:hAnsi="Times New Roman" w:cs="Times New Roman"/>
                <w:sz w:val="24"/>
                <w:szCs w:val="24"/>
                <w:lang w:eastAsia="tr-TR"/>
              </w:rPr>
              <w:t>1.44</w:t>
            </w:r>
          </w:p>
        </w:tc>
      </w:tr>
    </w:tbl>
    <w:p w14:paraId="23C1E1DD" w14:textId="77777777" w:rsidR="00E5383B" w:rsidRPr="00C6319A" w:rsidRDefault="00E5383B" w:rsidP="00E5383B">
      <w:pPr>
        <w:pStyle w:val="ListeParagraf"/>
        <w:spacing w:after="0"/>
        <w:jc w:val="both"/>
        <w:rPr>
          <w:rFonts w:ascii="Times New Roman" w:hAnsi="Times New Roman" w:cs="Times New Roman"/>
          <w:sz w:val="24"/>
          <w:szCs w:val="24"/>
        </w:rPr>
      </w:pPr>
    </w:p>
    <w:p w14:paraId="14883840" w14:textId="77777777" w:rsidR="00596C79" w:rsidRPr="00C6319A" w:rsidRDefault="00596C79" w:rsidP="00E5383B">
      <w:pPr>
        <w:spacing w:after="0"/>
        <w:ind w:left="708"/>
        <w:jc w:val="both"/>
        <w:rPr>
          <w:rFonts w:ascii="Times New Roman" w:hAnsi="Times New Roman" w:cs="Times New Roman"/>
          <w:sz w:val="24"/>
          <w:szCs w:val="24"/>
        </w:rPr>
      </w:pPr>
    </w:p>
    <w:p w14:paraId="02898DB3" w14:textId="77777777" w:rsidR="00F64FAD" w:rsidRPr="00C6319A" w:rsidRDefault="00F64FAD" w:rsidP="00C6319A">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31AD0ACF" w14:textId="1360C59B" w:rsidR="00313017" w:rsidRPr="00C6319A" w:rsidRDefault="00313017" w:rsidP="00C6319A">
      <w:pPr>
        <w:spacing w:after="0"/>
        <w:rPr>
          <w:rFonts w:ascii="Times New Roman" w:hAnsi="Times New Roman" w:cs="Times New Roman"/>
          <w:sz w:val="24"/>
          <w:szCs w:val="24"/>
        </w:rPr>
      </w:pPr>
    </w:p>
    <w:p w14:paraId="322C6744" w14:textId="77777777" w:rsidR="00313017" w:rsidRPr="00C6319A" w:rsidRDefault="00313017" w:rsidP="00CC7520">
      <w:pPr>
        <w:pStyle w:val="ListeParagraf"/>
        <w:spacing w:after="0"/>
        <w:rPr>
          <w:rFonts w:ascii="Times New Roman" w:hAnsi="Times New Roman" w:cs="Times New Roman"/>
          <w:sz w:val="24"/>
          <w:szCs w:val="24"/>
        </w:rPr>
      </w:pPr>
    </w:p>
    <w:p w14:paraId="54A010A4" w14:textId="06F5507F" w:rsidR="00BF54DE" w:rsidRPr="00C6319A" w:rsidRDefault="00EE1C8B" w:rsidP="00BF54DE">
      <w:pPr>
        <w:pStyle w:val="ListeParagraf"/>
        <w:numPr>
          <w:ilvl w:val="0"/>
          <w:numId w:val="3"/>
        </w:numPr>
        <w:spacing w:after="0"/>
        <w:ind w:left="360" w:hanging="76"/>
        <w:jc w:val="both"/>
        <w:rPr>
          <w:rFonts w:ascii="Times New Roman" w:hAnsi="Times New Roman" w:cs="Times New Roman"/>
          <w:sz w:val="24"/>
          <w:szCs w:val="24"/>
        </w:rPr>
      </w:pPr>
      <w:r w:rsidRPr="00C6319A">
        <w:rPr>
          <w:rFonts w:ascii="Times New Roman" w:hAnsi="Times New Roman" w:cs="Times New Roman"/>
          <w:sz w:val="24"/>
          <w:szCs w:val="24"/>
        </w:rPr>
        <w:t>P</w:t>
      </w:r>
      <w:r w:rsidR="00CC7520" w:rsidRPr="00C6319A">
        <w:rPr>
          <w:rFonts w:ascii="Times New Roman" w:hAnsi="Times New Roman" w:cs="Times New Roman"/>
          <w:sz w:val="24"/>
          <w:szCs w:val="24"/>
        </w:rPr>
        <w:t>erformans sunum dönemi içinde eşik değerind</w:t>
      </w:r>
      <w:r w:rsidR="002D6481">
        <w:rPr>
          <w:rFonts w:ascii="Times New Roman" w:hAnsi="Times New Roman" w:cs="Times New Roman"/>
          <w:sz w:val="24"/>
          <w:szCs w:val="24"/>
        </w:rPr>
        <w:t>e ve yatırım stratejisinde</w:t>
      </w:r>
      <w:r w:rsidR="00CC7520" w:rsidRPr="00C6319A">
        <w:rPr>
          <w:rFonts w:ascii="Times New Roman" w:hAnsi="Times New Roman" w:cs="Times New Roman"/>
          <w:sz w:val="24"/>
          <w:szCs w:val="24"/>
        </w:rPr>
        <w:t xml:space="preserve"> herhangi bir değişiklik yapılmamıştır.</w:t>
      </w:r>
    </w:p>
    <w:p w14:paraId="212CA115" w14:textId="77777777" w:rsidR="00C6319A" w:rsidRPr="00C6319A" w:rsidRDefault="00C6319A" w:rsidP="00C6319A">
      <w:pPr>
        <w:pStyle w:val="ListeParagraf"/>
        <w:spacing w:after="0"/>
        <w:jc w:val="both"/>
        <w:rPr>
          <w:rFonts w:ascii="Times New Roman" w:hAnsi="Times New Roman" w:cs="Times New Roman"/>
          <w:sz w:val="24"/>
          <w:szCs w:val="24"/>
        </w:rPr>
      </w:pPr>
    </w:p>
    <w:p w14:paraId="67F48501" w14:textId="77777777" w:rsidR="00C6319A" w:rsidRPr="00C6319A" w:rsidRDefault="00C6319A" w:rsidP="00C6319A">
      <w:pPr>
        <w:spacing w:after="0"/>
        <w:jc w:val="both"/>
        <w:rPr>
          <w:rFonts w:ascii="Times New Roman" w:hAnsi="Times New Roman" w:cs="Times New Roman"/>
          <w:sz w:val="24"/>
          <w:szCs w:val="24"/>
        </w:rPr>
      </w:pPr>
    </w:p>
    <w:p w14:paraId="280EE8FF" w14:textId="77777777" w:rsidR="00313017" w:rsidRPr="00C6319A" w:rsidRDefault="00313017" w:rsidP="00313017">
      <w:pPr>
        <w:spacing w:after="0"/>
        <w:jc w:val="both"/>
        <w:rPr>
          <w:rFonts w:ascii="Times New Roman" w:hAnsi="Times New Roman" w:cs="Times New Roman"/>
          <w:sz w:val="24"/>
          <w:szCs w:val="24"/>
        </w:rPr>
      </w:pPr>
    </w:p>
    <w:p w14:paraId="41432CD9" w14:textId="573ED02A" w:rsidR="00313017" w:rsidRPr="00C6319A" w:rsidRDefault="00313017" w:rsidP="00313017">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b/>
          <w:bCs/>
          <w:sz w:val="24"/>
          <w:szCs w:val="24"/>
        </w:rPr>
        <w:t>a) Kurumlar Vergisi Düzenlemesi Açısından:</w:t>
      </w:r>
      <w:r w:rsidRPr="00C6319A">
        <w:rPr>
          <w:rFonts w:ascii="Times New Roman" w:hAnsi="Times New Roman" w:cs="Times New Roman"/>
          <w:sz w:val="24"/>
          <w:szCs w:val="24"/>
        </w:rPr>
        <w:t xml:space="preserve"> 5520 sayılı Kurumlar Vergisi Kanunu’nun 5'inci maddesinin 1 numaralı bendinin (d) alt bendi uyarınca, menkul kıymet yatırım fonlarının portföy işletmeciliğinden doğan kazançları kurumlar vergisinden istisnadır. </w:t>
      </w:r>
    </w:p>
    <w:p w14:paraId="491C45FE" w14:textId="77777777" w:rsidR="00313017" w:rsidRPr="00C6319A" w:rsidRDefault="00313017" w:rsidP="00313017">
      <w:pPr>
        <w:pStyle w:val="ListeParagraf"/>
        <w:spacing w:after="0"/>
        <w:jc w:val="both"/>
        <w:rPr>
          <w:rFonts w:ascii="Times New Roman" w:hAnsi="Times New Roman" w:cs="Times New Roman"/>
          <w:sz w:val="24"/>
          <w:szCs w:val="24"/>
        </w:rPr>
      </w:pPr>
      <w:r w:rsidRPr="00C6319A">
        <w:rPr>
          <w:rFonts w:ascii="Times New Roman" w:hAnsi="Times New Roman" w:cs="Times New Roman"/>
          <w:sz w:val="24"/>
          <w:szCs w:val="24"/>
        </w:rPr>
        <w:t xml:space="preserve"> </w:t>
      </w:r>
    </w:p>
    <w:p w14:paraId="624919A9" w14:textId="5CB5EDD9" w:rsidR="00313017" w:rsidRPr="00C6319A" w:rsidRDefault="00313017" w:rsidP="00313017">
      <w:pPr>
        <w:pStyle w:val="ListeParagraf"/>
        <w:spacing w:after="0"/>
        <w:jc w:val="both"/>
        <w:rPr>
          <w:rFonts w:ascii="Times New Roman" w:hAnsi="Times New Roman" w:cs="Times New Roman"/>
          <w:sz w:val="24"/>
          <w:szCs w:val="24"/>
        </w:rPr>
      </w:pPr>
      <w:r w:rsidRPr="00C6319A">
        <w:rPr>
          <w:rFonts w:ascii="Times New Roman" w:hAnsi="Times New Roman" w:cs="Times New Roman"/>
          <w:b/>
          <w:bCs/>
          <w:sz w:val="24"/>
          <w:szCs w:val="24"/>
        </w:rPr>
        <w:t>b) Gelir Vergisi Düzenlemesi Açısından:</w:t>
      </w:r>
      <w:r w:rsidRPr="00C6319A">
        <w:rPr>
          <w:rFonts w:ascii="Times New Roman" w:hAnsi="Times New Roman" w:cs="Times New Roman"/>
          <w:sz w:val="24"/>
          <w:szCs w:val="24"/>
        </w:rPr>
        <w:t xml:space="preserve"> Fonların portföy işletmeciliği kazançları, Gelir Vergisi Kanunu’nun geçici 67. maddesinin (8) numaralı bendi uyarınca, %0 oranında gelir vergisi tevfikatına tabidir.</w:t>
      </w:r>
    </w:p>
    <w:p w14:paraId="4F70F238" w14:textId="670732CE" w:rsidR="00BF54DE" w:rsidRPr="00C6319A" w:rsidRDefault="00BF54DE" w:rsidP="0014766B">
      <w:pPr>
        <w:spacing w:after="0"/>
        <w:jc w:val="both"/>
        <w:rPr>
          <w:rFonts w:ascii="Times New Roman" w:hAnsi="Times New Roman" w:cs="Times New Roman"/>
          <w:sz w:val="24"/>
          <w:szCs w:val="24"/>
        </w:rPr>
      </w:pPr>
    </w:p>
    <w:p w14:paraId="1937CA62" w14:textId="77777777" w:rsidR="00275FAF" w:rsidRPr="00C6319A" w:rsidRDefault="00275FAF" w:rsidP="00275FAF">
      <w:pPr>
        <w:pStyle w:val="ListeParagraf"/>
        <w:numPr>
          <w:ilvl w:val="0"/>
          <w:numId w:val="1"/>
        </w:numPr>
        <w:spacing w:after="0"/>
        <w:rPr>
          <w:rFonts w:ascii="Times New Roman" w:hAnsi="Times New Roman" w:cs="Times New Roman"/>
          <w:b/>
          <w:sz w:val="24"/>
          <w:szCs w:val="24"/>
        </w:rPr>
      </w:pPr>
      <w:r w:rsidRPr="00C6319A">
        <w:rPr>
          <w:rFonts w:ascii="Times New Roman" w:hAnsi="Times New Roman" w:cs="Times New Roman"/>
          <w:b/>
          <w:sz w:val="24"/>
          <w:szCs w:val="24"/>
        </w:rPr>
        <w:t>İLAVE BİLGİLER VE AÇIKLAMALAR</w:t>
      </w:r>
    </w:p>
    <w:p w14:paraId="0C5BD4F7" w14:textId="77777777" w:rsidR="00275FAF" w:rsidRPr="00C6319A" w:rsidRDefault="00275FAF" w:rsidP="001B1C6E">
      <w:pPr>
        <w:spacing w:after="0"/>
        <w:ind w:left="360"/>
        <w:jc w:val="both"/>
        <w:rPr>
          <w:rFonts w:ascii="Times New Roman" w:hAnsi="Times New Roman" w:cs="Times New Roman"/>
          <w:b/>
          <w:sz w:val="24"/>
          <w:szCs w:val="24"/>
        </w:rPr>
      </w:pPr>
    </w:p>
    <w:p w14:paraId="3A05C685" w14:textId="696ECC11" w:rsidR="00275FAF" w:rsidRPr="00C6319A" w:rsidRDefault="00275FAF" w:rsidP="002735C8">
      <w:pPr>
        <w:pStyle w:val="ListeParagraf"/>
        <w:numPr>
          <w:ilvl w:val="0"/>
          <w:numId w:val="7"/>
        </w:numPr>
        <w:spacing w:after="0"/>
        <w:ind w:left="426" w:firstLine="0"/>
        <w:jc w:val="both"/>
        <w:rPr>
          <w:rFonts w:ascii="Times New Roman" w:hAnsi="Times New Roman" w:cs="Times New Roman"/>
          <w:b/>
          <w:sz w:val="24"/>
          <w:szCs w:val="24"/>
        </w:rPr>
      </w:pPr>
      <w:r w:rsidRPr="00C6319A">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C6319A">
        <w:rPr>
          <w:rFonts w:ascii="Times New Roman" w:hAnsi="Times New Roman" w:cs="Times New Roman"/>
          <w:sz w:val="24"/>
          <w:szCs w:val="24"/>
        </w:rPr>
        <w:t>)” inin</w:t>
      </w:r>
      <w:r w:rsidRPr="00C6319A">
        <w:rPr>
          <w:rFonts w:ascii="Times New Roman" w:hAnsi="Times New Roman" w:cs="Times New Roman"/>
          <w:sz w:val="24"/>
          <w:szCs w:val="24"/>
        </w:rPr>
        <w:t xml:space="preserve"> (“Tebliğ”) hükümleri doğrultusunda hazırlanmıştır.</w:t>
      </w:r>
    </w:p>
    <w:p w14:paraId="0A9DBE67" w14:textId="77777777" w:rsidR="0041052D" w:rsidRPr="00C6319A" w:rsidRDefault="0041052D" w:rsidP="00FC3E22">
      <w:pPr>
        <w:spacing w:after="0"/>
        <w:jc w:val="both"/>
        <w:rPr>
          <w:rFonts w:ascii="Times New Roman" w:hAnsi="Times New Roman" w:cs="Times New Roman"/>
          <w:b/>
          <w:sz w:val="24"/>
          <w:szCs w:val="24"/>
        </w:rPr>
      </w:pPr>
    </w:p>
    <w:p w14:paraId="609E1FFA" w14:textId="77777777" w:rsidR="00275FAF" w:rsidRPr="00C6319A" w:rsidRDefault="00275FAF" w:rsidP="002735C8">
      <w:pPr>
        <w:pStyle w:val="ListeParagraf"/>
        <w:numPr>
          <w:ilvl w:val="0"/>
          <w:numId w:val="7"/>
        </w:numPr>
        <w:spacing w:after="0"/>
        <w:ind w:left="426" w:hanging="66"/>
        <w:jc w:val="both"/>
        <w:rPr>
          <w:rFonts w:ascii="Times New Roman" w:hAnsi="Times New Roman" w:cs="Times New Roman"/>
          <w:sz w:val="24"/>
          <w:szCs w:val="24"/>
        </w:rPr>
      </w:pPr>
      <w:r w:rsidRPr="00C6319A">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C6319A">
        <w:rPr>
          <w:rFonts w:ascii="Times New Roman" w:hAnsi="Times New Roman" w:cs="Times New Roman"/>
          <w:sz w:val="24"/>
          <w:szCs w:val="24"/>
        </w:rPr>
        <w:t xml:space="preserve"> maruz kalabileceği riskler aşağıdaki gibidir:</w:t>
      </w:r>
    </w:p>
    <w:p w14:paraId="2D3D9A41" w14:textId="32A7EF72" w:rsidR="001B1C6E" w:rsidRPr="00C6319A" w:rsidRDefault="001B1C6E" w:rsidP="002735C8">
      <w:pPr>
        <w:spacing w:after="0"/>
        <w:ind w:left="426"/>
        <w:jc w:val="both"/>
        <w:rPr>
          <w:rFonts w:ascii="Times New Roman" w:hAnsi="Times New Roman" w:cs="Times New Roman"/>
          <w:sz w:val="24"/>
          <w:szCs w:val="24"/>
        </w:rPr>
      </w:pPr>
    </w:p>
    <w:p w14:paraId="6F99C58C" w14:textId="793C8397" w:rsidR="00C6319A" w:rsidRPr="00C6319A" w:rsidRDefault="00C6319A" w:rsidP="002735C8">
      <w:pPr>
        <w:spacing w:after="0"/>
        <w:ind w:left="426"/>
        <w:jc w:val="both"/>
        <w:rPr>
          <w:rFonts w:ascii="Times New Roman" w:hAnsi="Times New Roman" w:cs="Times New Roman"/>
          <w:sz w:val="24"/>
          <w:szCs w:val="24"/>
        </w:rPr>
      </w:pPr>
    </w:p>
    <w:p w14:paraId="5CA7579B" w14:textId="77777777" w:rsidR="00C6319A" w:rsidRPr="00C6319A" w:rsidRDefault="00C6319A" w:rsidP="00C6319A">
      <w:pPr>
        <w:ind w:firstLine="709"/>
        <w:rPr>
          <w:rFonts w:ascii="Times New Roman" w:hAnsi="Times New Roman" w:cs="Times New Roman"/>
          <w:sz w:val="24"/>
          <w:szCs w:val="24"/>
        </w:rPr>
      </w:pPr>
      <w:r w:rsidRPr="00C6319A">
        <w:rPr>
          <w:rFonts w:ascii="Times New Roman" w:hAnsi="Times New Roman" w:cs="Times New Roman"/>
          <w:b/>
          <w:sz w:val="24"/>
          <w:szCs w:val="24"/>
        </w:rPr>
        <w:t>1) Piyasa Riski:</w:t>
      </w:r>
      <w:r w:rsidRPr="00C6319A">
        <w:rPr>
          <w:rFonts w:ascii="Times New Roman" w:hAnsi="Times New Roman" w:cs="Times New Roman"/>
          <w:sz w:val="24"/>
          <w:szCs w:val="24"/>
        </w:rPr>
        <w:t xml:space="preserve"> Piyasa riski ile borçlanmayı temsil eden finansal araçların, ortaklık paylarının, diğer menkul kıymetlerin, faiz oranları ve ortaklık payı fiyatlarındaki dalgalanmalar nedeniyle meydana gelebilecek zarar riski ifade edilmektedir. Söz konusu risklerin detaylarına aşağıda yer verilmektedir: </w:t>
      </w:r>
    </w:p>
    <w:p w14:paraId="1AD8C4A8" w14:textId="77777777" w:rsidR="00C6319A" w:rsidRPr="00C6319A" w:rsidRDefault="00C6319A" w:rsidP="00C6319A">
      <w:pPr>
        <w:ind w:firstLine="709"/>
        <w:rPr>
          <w:rFonts w:ascii="Times New Roman" w:hAnsi="Times New Roman" w:cs="Times New Roman"/>
          <w:sz w:val="24"/>
          <w:szCs w:val="24"/>
        </w:rPr>
      </w:pPr>
    </w:p>
    <w:p w14:paraId="6F8FD654" w14:textId="6E72B83D" w:rsidR="00C6319A" w:rsidRPr="00C6319A" w:rsidRDefault="00C6319A" w:rsidP="00C6319A">
      <w:pPr>
        <w:ind w:left="708" w:firstLine="1"/>
        <w:rPr>
          <w:rFonts w:ascii="Times New Roman" w:hAnsi="Times New Roman" w:cs="Times New Roman"/>
          <w:sz w:val="24"/>
          <w:szCs w:val="24"/>
        </w:rPr>
      </w:pPr>
      <w:r w:rsidRPr="00C6319A">
        <w:rPr>
          <w:rFonts w:ascii="Times New Roman" w:hAnsi="Times New Roman" w:cs="Times New Roman"/>
          <w:b/>
          <w:sz w:val="24"/>
          <w:szCs w:val="24"/>
        </w:rPr>
        <w:t>a- Faiz Oranı Riski</w:t>
      </w:r>
      <w:r w:rsidRPr="00C6319A">
        <w:rPr>
          <w:rFonts w:ascii="Times New Roman" w:hAnsi="Times New Roman" w:cs="Times New Roman"/>
          <w:sz w:val="24"/>
          <w:szCs w:val="24"/>
        </w:rPr>
        <w:t xml:space="preserve">: Fon portföyüne faize dayalı varlıkların (borçlanma aracı, ters repo vb) dahil edilmesi halinde, söz konusu varlıkların değerinde piyasalarda yaşanabilecek faiz oranları değişimleri nedeniyle oluşan riski ifade eder. </w:t>
      </w:r>
    </w:p>
    <w:p w14:paraId="2FC509B3" w14:textId="4212E0DD" w:rsidR="00C6319A" w:rsidRPr="00C6319A" w:rsidRDefault="00C6319A" w:rsidP="00C6319A">
      <w:pPr>
        <w:ind w:left="708" w:firstLine="1"/>
        <w:rPr>
          <w:rFonts w:ascii="Times New Roman" w:hAnsi="Times New Roman" w:cs="Times New Roman"/>
          <w:sz w:val="24"/>
          <w:szCs w:val="24"/>
        </w:rPr>
      </w:pPr>
      <w:r w:rsidRPr="00C6319A">
        <w:rPr>
          <w:rFonts w:ascii="Times New Roman" w:hAnsi="Times New Roman" w:cs="Times New Roman"/>
          <w:b/>
          <w:sz w:val="24"/>
          <w:szCs w:val="24"/>
        </w:rPr>
        <w:t>b- Ortaklık Payı Fiyat Riski:</w:t>
      </w:r>
      <w:r w:rsidRPr="00C6319A">
        <w:rPr>
          <w:rFonts w:ascii="Times New Roman" w:hAnsi="Times New Roman" w:cs="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0A95B90D" w14:textId="69495CEB" w:rsidR="00C6319A" w:rsidRPr="00C6319A" w:rsidRDefault="00C6319A" w:rsidP="00C6319A">
      <w:pPr>
        <w:rPr>
          <w:rFonts w:ascii="Times New Roman" w:hAnsi="Times New Roman" w:cs="Times New Roman"/>
          <w:bCs/>
          <w:sz w:val="24"/>
          <w:szCs w:val="24"/>
        </w:rPr>
      </w:pPr>
      <w:r w:rsidRPr="00C6319A">
        <w:rPr>
          <w:rFonts w:ascii="Times New Roman" w:hAnsi="Times New Roman" w:cs="Times New Roman"/>
          <w:b/>
          <w:sz w:val="24"/>
          <w:szCs w:val="24"/>
        </w:rPr>
        <w:tab/>
        <w:t>2)</w:t>
      </w:r>
      <w:r w:rsidRPr="00C6319A">
        <w:rPr>
          <w:rFonts w:ascii="Times New Roman" w:hAnsi="Times New Roman" w:cs="Times New Roman"/>
          <w:sz w:val="24"/>
          <w:szCs w:val="24"/>
        </w:rPr>
        <w:t xml:space="preserve"> </w:t>
      </w:r>
      <w:r w:rsidRPr="00C6319A">
        <w:rPr>
          <w:rFonts w:ascii="Times New Roman" w:hAnsi="Times New Roman" w:cs="Times New Roman"/>
          <w:b/>
          <w:sz w:val="24"/>
          <w:szCs w:val="24"/>
        </w:rPr>
        <w:t>Karşı Taraf Riski:</w:t>
      </w:r>
      <w:r w:rsidRPr="00C6319A">
        <w:rPr>
          <w:rFonts w:ascii="Times New Roman" w:hAnsi="Times New Roman" w:cs="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7C61C2DE" w14:textId="3E7E8D05" w:rsidR="00C6319A" w:rsidRPr="00C6319A" w:rsidRDefault="00C6319A" w:rsidP="00C6319A">
      <w:pPr>
        <w:rPr>
          <w:rFonts w:ascii="Times New Roman" w:hAnsi="Times New Roman" w:cs="Times New Roman"/>
          <w:sz w:val="24"/>
          <w:szCs w:val="24"/>
        </w:rPr>
      </w:pPr>
      <w:r w:rsidRPr="00C6319A">
        <w:rPr>
          <w:rFonts w:ascii="Times New Roman" w:hAnsi="Times New Roman" w:cs="Times New Roman"/>
          <w:b/>
          <w:sz w:val="24"/>
          <w:szCs w:val="24"/>
        </w:rPr>
        <w:tab/>
        <w:t>3) Likidite Riski:</w:t>
      </w:r>
      <w:r w:rsidRPr="00C6319A">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6C5FFF52" w14:textId="17F4D701" w:rsidR="00C6319A" w:rsidRPr="00C6319A" w:rsidRDefault="00C6319A" w:rsidP="00C6319A">
      <w:pPr>
        <w:rPr>
          <w:rFonts w:ascii="Times New Roman" w:hAnsi="Times New Roman" w:cs="Times New Roman"/>
          <w:sz w:val="24"/>
          <w:szCs w:val="24"/>
        </w:rPr>
      </w:pPr>
      <w:r w:rsidRPr="00C6319A">
        <w:rPr>
          <w:rFonts w:ascii="Times New Roman" w:hAnsi="Times New Roman" w:cs="Times New Roman"/>
          <w:b/>
          <w:sz w:val="24"/>
          <w:szCs w:val="24"/>
        </w:rPr>
        <w:lastRenderedPageBreak/>
        <w:tab/>
        <w:t xml:space="preserve">4) Kaldıraç Yaratan İşlem Riski: </w:t>
      </w:r>
      <w:r w:rsidRPr="00C6319A">
        <w:rPr>
          <w:rFonts w:ascii="Times New Roman" w:hAnsi="Times New Roman" w:cs="Times New Roman"/>
          <w:sz w:val="24"/>
          <w:szCs w:val="24"/>
        </w:rPr>
        <w:t>Fon portföyüne türev araç (vadeli işlem ve opsiyon sözleşmeleri), saklı türev araç, swap sözleşmesi, varant, sertifika dahil edilmesi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67097593" w14:textId="26E90134" w:rsidR="00C6319A" w:rsidRPr="00C6319A" w:rsidRDefault="00C6319A" w:rsidP="00C6319A">
      <w:pPr>
        <w:rPr>
          <w:rFonts w:ascii="Times New Roman" w:hAnsi="Times New Roman" w:cs="Times New Roman"/>
          <w:sz w:val="24"/>
          <w:szCs w:val="24"/>
        </w:rPr>
      </w:pPr>
      <w:r w:rsidRPr="00C6319A">
        <w:rPr>
          <w:rFonts w:ascii="Times New Roman" w:hAnsi="Times New Roman" w:cs="Times New Roman"/>
          <w:b/>
          <w:sz w:val="24"/>
          <w:szCs w:val="24"/>
        </w:rPr>
        <w:tab/>
        <w:t>5) Operasyonel Risk</w:t>
      </w:r>
      <w:r w:rsidRPr="00C6319A">
        <w:rPr>
          <w:rFonts w:ascii="Times New Roman" w:hAnsi="Times New Roman" w:cs="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5376B95B" w14:textId="524AC4A4" w:rsidR="00C6319A" w:rsidRPr="00C6319A" w:rsidRDefault="00C6319A" w:rsidP="00C6319A">
      <w:pPr>
        <w:rPr>
          <w:rFonts w:ascii="Times New Roman" w:hAnsi="Times New Roman" w:cs="Times New Roman"/>
          <w:sz w:val="24"/>
          <w:szCs w:val="24"/>
        </w:rPr>
      </w:pPr>
      <w:r w:rsidRPr="00C6319A">
        <w:rPr>
          <w:rFonts w:ascii="Times New Roman" w:hAnsi="Times New Roman" w:cs="Times New Roman"/>
          <w:b/>
          <w:sz w:val="24"/>
          <w:szCs w:val="24"/>
        </w:rPr>
        <w:tab/>
        <w:t>6) Yoğunlaşma Riski:</w:t>
      </w:r>
      <w:r w:rsidRPr="00C6319A">
        <w:rPr>
          <w:rFonts w:ascii="Times New Roman" w:hAnsi="Times New Roman" w:cs="Times New Roman"/>
          <w:sz w:val="24"/>
          <w:szCs w:val="24"/>
        </w:rPr>
        <w:t xml:space="preserve"> Belli bir varlığa ve/veya vadeye yoğun yatırım yapılması sonucu fonun bu varlığın ve vadenin içerdiği risklere maruz kalmasıdır.</w:t>
      </w:r>
    </w:p>
    <w:p w14:paraId="183653E7" w14:textId="1966AD42" w:rsidR="00C6319A" w:rsidRPr="00C6319A" w:rsidRDefault="00C6319A" w:rsidP="00C6319A">
      <w:pPr>
        <w:rPr>
          <w:rFonts w:ascii="Times New Roman" w:hAnsi="Times New Roman" w:cs="Times New Roman"/>
          <w:sz w:val="24"/>
          <w:szCs w:val="24"/>
        </w:rPr>
      </w:pPr>
      <w:r w:rsidRPr="00C6319A">
        <w:rPr>
          <w:rFonts w:ascii="Times New Roman" w:hAnsi="Times New Roman" w:cs="Times New Roman"/>
          <w:sz w:val="24"/>
          <w:szCs w:val="24"/>
        </w:rPr>
        <w:tab/>
      </w:r>
      <w:r w:rsidRPr="00C6319A">
        <w:rPr>
          <w:rFonts w:ascii="Times New Roman" w:hAnsi="Times New Roman" w:cs="Times New Roman"/>
          <w:b/>
          <w:sz w:val="24"/>
          <w:szCs w:val="24"/>
        </w:rPr>
        <w:t>7) Korelasyon Riski:</w:t>
      </w:r>
      <w:r w:rsidRPr="00C6319A">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0C9108BF" w14:textId="1311831D" w:rsidR="00C6319A" w:rsidRPr="00C6319A" w:rsidRDefault="00C6319A" w:rsidP="00C6319A">
      <w:pPr>
        <w:rPr>
          <w:rFonts w:ascii="Times New Roman" w:hAnsi="Times New Roman" w:cs="Times New Roman"/>
          <w:sz w:val="24"/>
          <w:szCs w:val="24"/>
        </w:rPr>
      </w:pPr>
      <w:r w:rsidRPr="00C6319A">
        <w:rPr>
          <w:rFonts w:ascii="Times New Roman" w:hAnsi="Times New Roman" w:cs="Times New Roman"/>
          <w:b/>
          <w:sz w:val="24"/>
          <w:szCs w:val="24"/>
        </w:rPr>
        <w:tab/>
        <w:t>8) Yasal Risk:</w:t>
      </w:r>
      <w:r w:rsidRPr="00C6319A">
        <w:rPr>
          <w:rFonts w:ascii="Times New Roman" w:hAnsi="Times New Roman" w:cs="Times New Roman"/>
          <w:sz w:val="24"/>
          <w:szCs w:val="24"/>
        </w:rPr>
        <w:t xml:space="preserve"> Fonun halka arz edildiği dönemden sonra mevzuatta ve düzenleyici otoritelerin düzenlemelerinde meydana gelebilecek değişiklerden olumsuz etkilenmesi riskidir.</w:t>
      </w:r>
    </w:p>
    <w:p w14:paraId="040D02FF" w14:textId="21DFA39D" w:rsidR="00C6319A" w:rsidRPr="00C6319A" w:rsidRDefault="00C6319A" w:rsidP="00C6319A">
      <w:pPr>
        <w:rPr>
          <w:rFonts w:ascii="Times New Roman" w:hAnsi="Times New Roman" w:cs="Times New Roman"/>
          <w:sz w:val="24"/>
          <w:szCs w:val="24"/>
        </w:rPr>
      </w:pPr>
      <w:r w:rsidRPr="00C6319A">
        <w:rPr>
          <w:rFonts w:ascii="Times New Roman" w:hAnsi="Times New Roman" w:cs="Times New Roman"/>
          <w:sz w:val="24"/>
          <w:szCs w:val="24"/>
        </w:rPr>
        <w:t xml:space="preserve">     </w:t>
      </w:r>
      <w:r w:rsidRPr="00C6319A">
        <w:rPr>
          <w:rFonts w:ascii="Times New Roman" w:hAnsi="Times New Roman" w:cs="Times New Roman"/>
          <w:sz w:val="24"/>
          <w:szCs w:val="24"/>
        </w:rPr>
        <w:tab/>
      </w:r>
      <w:r w:rsidRPr="00C6319A">
        <w:rPr>
          <w:rFonts w:ascii="Times New Roman" w:hAnsi="Times New Roman" w:cs="Times New Roman"/>
          <w:b/>
          <w:sz w:val="24"/>
          <w:szCs w:val="24"/>
        </w:rPr>
        <w:t xml:space="preserve">9) İhraççı Riski: </w:t>
      </w:r>
      <w:r w:rsidRPr="00C6319A">
        <w:rPr>
          <w:rFonts w:ascii="Times New Roman" w:hAnsi="Times New Roman" w:cs="Times New Roman"/>
          <w:sz w:val="24"/>
          <w:szCs w:val="24"/>
        </w:rPr>
        <w:t>Fon portföyüne alınan varlıkların</w:t>
      </w:r>
      <w:r w:rsidRPr="00C6319A">
        <w:rPr>
          <w:rFonts w:ascii="Times New Roman" w:hAnsi="Times New Roman" w:cs="Times New Roman"/>
          <w:b/>
          <w:sz w:val="24"/>
          <w:szCs w:val="24"/>
        </w:rPr>
        <w:t xml:space="preserve"> </w:t>
      </w:r>
      <w:r w:rsidRPr="00C6319A">
        <w:rPr>
          <w:rFonts w:ascii="Times New Roman" w:hAnsi="Times New Roman" w:cs="Times New Roman"/>
          <w:sz w:val="24"/>
          <w:szCs w:val="24"/>
        </w:rPr>
        <w:t>ihraççısının yükümlülüklerini kısmen veya tamamen zamanında yerine getirememesi nedeniyle doğabilecek zarar ihtimalini ifade eder.</w:t>
      </w:r>
    </w:p>
    <w:sectPr w:rsidR="00C6319A" w:rsidRPr="00C6319A" w:rsidSect="008A60CB">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37EE5" w14:textId="77777777" w:rsidR="00F4323E" w:rsidRDefault="00F4323E" w:rsidP="00A05B08">
      <w:pPr>
        <w:spacing w:after="0" w:line="240" w:lineRule="auto"/>
      </w:pPr>
      <w:r>
        <w:separator/>
      </w:r>
    </w:p>
  </w:endnote>
  <w:endnote w:type="continuationSeparator" w:id="0">
    <w:p w14:paraId="679F98C3" w14:textId="77777777" w:rsidR="00F4323E" w:rsidRDefault="00F4323E"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247DC" w14:textId="77777777" w:rsidR="00F4323E" w:rsidRDefault="00F4323E" w:rsidP="00A05B08">
      <w:pPr>
        <w:spacing w:after="0" w:line="240" w:lineRule="auto"/>
      </w:pPr>
      <w:r>
        <w:separator/>
      </w:r>
    </w:p>
  </w:footnote>
  <w:footnote w:type="continuationSeparator" w:id="0">
    <w:p w14:paraId="5CF13801" w14:textId="77777777" w:rsidR="00F4323E" w:rsidRDefault="00F4323E"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1FC7018A"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sidR="001D2A2A">
      <w:rPr>
        <w:rFonts w:ascii="Times New Roman" w:hAnsi="Times New Roman" w:cs="Times New Roman"/>
        <w:b/>
        <w:color w:val="1F3864" w:themeColor="accent5" w:themeShade="80"/>
        <w:sz w:val="24"/>
        <w:szCs w:val="24"/>
      </w:rPr>
      <w:t>BİRİNCİ HİSSE SENEDİ</w:t>
    </w:r>
    <w:r w:rsidR="00771AD5">
      <w:rPr>
        <w:rFonts w:ascii="Times New Roman" w:hAnsi="Times New Roman" w:cs="Times New Roman"/>
        <w:b/>
        <w:color w:val="1F3864" w:themeColor="accent5" w:themeShade="80"/>
        <w:sz w:val="24"/>
        <w:szCs w:val="24"/>
      </w:rPr>
      <w:t>(TL)</w:t>
    </w:r>
    <w:r w:rsidR="001D2A2A">
      <w:rPr>
        <w:rFonts w:ascii="Times New Roman" w:hAnsi="Times New Roman" w:cs="Times New Roman"/>
        <w:b/>
        <w:color w:val="1F3864" w:themeColor="accent5" w:themeShade="80"/>
        <w:sz w:val="24"/>
        <w:szCs w:val="24"/>
      </w:rPr>
      <w:t xml:space="preserve"> FONU (HİSSE SENEDİ YOĞUN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6130" w14:textId="77777777" w:rsidR="00346B10" w:rsidRDefault="00346B10" w:rsidP="00346B10">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61312" behindDoc="0" locked="0" layoutInCell="1" allowOverlap="1" wp14:anchorId="79D2AF3D" wp14:editId="2299AC5A">
              <wp:simplePos x="0" y="0"/>
              <wp:positionH relativeFrom="column">
                <wp:posOffset>4380865</wp:posOffset>
              </wp:positionH>
              <wp:positionV relativeFrom="paragraph">
                <wp:posOffset>-214630</wp:posOffset>
              </wp:positionV>
              <wp:extent cx="2235200" cy="1085850"/>
              <wp:effectExtent l="0" t="0" r="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CA0A" w14:textId="77777777" w:rsidR="00346B10" w:rsidRPr="00447D36" w:rsidRDefault="00346B10" w:rsidP="00346B1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48429A81" w14:textId="77777777" w:rsidR="00346B10" w:rsidRPr="00447D36" w:rsidRDefault="00346B10" w:rsidP="00346B1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3E2E1B88" w14:textId="77777777" w:rsidR="00346B10" w:rsidRPr="00447D36" w:rsidRDefault="00346B10" w:rsidP="00346B1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09E313FD" w14:textId="77777777" w:rsidR="00346B10" w:rsidRPr="00447D36" w:rsidRDefault="00346B10" w:rsidP="00346B1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678293BE" w14:textId="77777777" w:rsidR="00346B10" w:rsidRPr="0064371B" w:rsidRDefault="00346B10" w:rsidP="00346B10">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176AE121" w14:textId="77777777" w:rsidR="00346B10" w:rsidRDefault="00346B10" w:rsidP="00346B10">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D2AF3D" id="_x0000_t202" coordsize="21600,21600" o:spt="202" path="m,l,21600r21600,l21600,xe">
              <v:stroke joinstyle="miter"/>
              <v:path gradientshapeok="t" o:connecttype="rect"/>
            </v:shapetype>
            <v:shape id="Metin Kutusu 2" o:spid="_x0000_s1026" type="#_x0000_t202" style="position:absolute;margin-left:344.95pt;margin-top:-16.9pt;width:176pt;height:8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" filled="f" stroked="f">
              <v:textbox>
                <w:txbxContent>
                  <w:p w14:paraId="1DBBCA0A" w14:textId="77777777" w:rsidR="00346B10" w:rsidRPr="00447D36" w:rsidRDefault="00346B10" w:rsidP="00346B1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48429A81" w14:textId="77777777" w:rsidR="00346B10" w:rsidRPr="00447D36" w:rsidRDefault="00346B10" w:rsidP="00346B1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3E2E1B88" w14:textId="77777777" w:rsidR="00346B10" w:rsidRPr="00447D36" w:rsidRDefault="00346B10" w:rsidP="00346B1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09E313FD" w14:textId="77777777" w:rsidR="00346B10" w:rsidRPr="00447D36" w:rsidRDefault="00346B10" w:rsidP="00346B1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678293BE" w14:textId="77777777" w:rsidR="00346B10" w:rsidRPr="0064371B" w:rsidRDefault="00346B10" w:rsidP="00346B10">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176AE121" w14:textId="77777777" w:rsidR="00346B10" w:rsidRDefault="00346B10" w:rsidP="00346B10">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7C75AF77" wp14:editId="49D95FF7">
          <wp:extent cx="1282700" cy="36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38DC631A" w14:textId="77777777" w:rsidR="00346B10" w:rsidRDefault="00346B1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C2BD0" w14:textId="77777777" w:rsidR="00346B10" w:rsidRPr="00346B10" w:rsidRDefault="00346B10" w:rsidP="00346B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84679"/>
    <w:multiLevelType w:val="hybridMultilevel"/>
    <w:tmpl w:val="B3346600"/>
    <w:lvl w:ilvl="0" w:tplc="67C21D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A0DAF"/>
    <w:multiLevelType w:val="hybridMultilevel"/>
    <w:tmpl w:val="24121FCC"/>
    <w:lvl w:ilvl="0" w:tplc="041F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7A533F"/>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6423211">
    <w:abstractNumId w:val="4"/>
  </w:num>
  <w:num w:numId="2" w16cid:durableId="1748072855">
    <w:abstractNumId w:val="0"/>
  </w:num>
  <w:num w:numId="3" w16cid:durableId="113905832">
    <w:abstractNumId w:val="6"/>
  </w:num>
  <w:num w:numId="4" w16cid:durableId="1755124000">
    <w:abstractNumId w:val="5"/>
  </w:num>
  <w:num w:numId="5" w16cid:durableId="1929926933">
    <w:abstractNumId w:val="3"/>
  </w:num>
  <w:num w:numId="6" w16cid:durableId="295960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157821">
    <w:abstractNumId w:val="1"/>
  </w:num>
  <w:num w:numId="8" w16cid:durableId="952978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4114"/>
    <w:rsid w:val="00050C00"/>
    <w:rsid w:val="00052F5E"/>
    <w:rsid w:val="00065486"/>
    <w:rsid w:val="000669A7"/>
    <w:rsid w:val="000A1D61"/>
    <w:rsid w:val="000B2046"/>
    <w:rsid w:val="000B5411"/>
    <w:rsid w:val="000D3192"/>
    <w:rsid w:val="000D3551"/>
    <w:rsid w:val="000E1417"/>
    <w:rsid w:val="000F6EA8"/>
    <w:rsid w:val="000F7A0F"/>
    <w:rsid w:val="000F7B1B"/>
    <w:rsid w:val="00103F61"/>
    <w:rsid w:val="00106889"/>
    <w:rsid w:val="00137894"/>
    <w:rsid w:val="0014766B"/>
    <w:rsid w:val="00154745"/>
    <w:rsid w:val="001B1348"/>
    <w:rsid w:val="001B1C6E"/>
    <w:rsid w:val="001C29A7"/>
    <w:rsid w:val="001C4968"/>
    <w:rsid w:val="001D2A2A"/>
    <w:rsid w:val="001E0E01"/>
    <w:rsid w:val="0021216E"/>
    <w:rsid w:val="00223B91"/>
    <w:rsid w:val="00227C69"/>
    <w:rsid w:val="0023421B"/>
    <w:rsid w:val="00236423"/>
    <w:rsid w:val="00237C1F"/>
    <w:rsid w:val="00242370"/>
    <w:rsid w:val="002735C8"/>
    <w:rsid w:val="00275FAF"/>
    <w:rsid w:val="00295675"/>
    <w:rsid w:val="002B133F"/>
    <w:rsid w:val="002D47A7"/>
    <w:rsid w:val="002D6481"/>
    <w:rsid w:val="002E2517"/>
    <w:rsid w:val="00313017"/>
    <w:rsid w:val="00345E9E"/>
    <w:rsid w:val="00346B10"/>
    <w:rsid w:val="00351EF4"/>
    <w:rsid w:val="00353A6C"/>
    <w:rsid w:val="00373F9B"/>
    <w:rsid w:val="00392B73"/>
    <w:rsid w:val="00395760"/>
    <w:rsid w:val="0039748C"/>
    <w:rsid w:val="003A25DE"/>
    <w:rsid w:val="003B1C77"/>
    <w:rsid w:val="003B245E"/>
    <w:rsid w:val="003B50E1"/>
    <w:rsid w:val="003D4A1E"/>
    <w:rsid w:val="003D66F7"/>
    <w:rsid w:val="003E3013"/>
    <w:rsid w:val="003F11CF"/>
    <w:rsid w:val="0041052D"/>
    <w:rsid w:val="00416252"/>
    <w:rsid w:val="004519E1"/>
    <w:rsid w:val="0046476F"/>
    <w:rsid w:val="00465964"/>
    <w:rsid w:val="00495B04"/>
    <w:rsid w:val="004A5550"/>
    <w:rsid w:val="004C5257"/>
    <w:rsid w:val="004E1385"/>
    <w:rsid w:val="004E72E0"/>
    <w:rsid w:val="00537E6E"/>
    <w:rsid w:val="005464E9"/>
    <w:rsid w:val="00556FC0"/>
    <w:rsid w:val="00570FE9"/>
    <w:rsid w:val="00573007"/>
    <w:rsid w:val="00596C79"/>
    <w:rsid w:val="005B4267"/>
    <w:rsid w:val="005C70A1"/>
    <w:rsid w:val="005D0231"/>
    <w:rsid w:val="005D41D1"/>
    <w:rsid w:val="005F5413"/>
    <w:rsid w:val="00610AE4"/>
    <w:rsid w:val="0062182C"/>
    <w:rsid w:val="00621CF3"/>
    <w:rsid w:val="00623AF0"/>
    <w:rsid w:val="006858ED"/>
    <w:rsid w:val="0068663D"/>
    <w:rsid w:val="006A0773"/>
    <w:rsid w:val="006B21ED"/>
    <w:rsid w:val="006B6E11"/>
    <w:rsid w:val="006C07D6"/>
    <w:rsid w:val="006C7294"/>
    <w:rsid w:val="006D1809"/>
    <w:rsid w:val="006F1320"/>
    <w:rsid w:val="006F16CC"/>
    <w:rsid w:val="00715855"/>
    <w:rsid w:val="00732B90"/>
    <w:rsid w:val="007403AA"/>
    <w:rsid w:val="00747866"/>
    <w:rsid w:val="0077126C"/>
    <w:rsid w:val="00771AD5"/>
    <w:rsid w:val="007A0262"/>
    <w:rsid w:val="007B4462"/>
    <w:rsid w:val="007B4E2D"/>
    <w:rsid w:val="007C20F0"/>
    <w:rsid w:val="007C6F90"/>
    <w:rsid w:val="007D2136"/>
    <w:rsid w:val="007D75CD"/>
    <w:rsid w:val="007E62FE"/>
    <w:rsid w:val="007F6333"/>
    <w:rsid w:val="008260F4"/>
    <w:rsid w:val="00897BBB"/>
    <w:rsid w:val="008A2B04"/>
    <w:rsid w:val="008A4183"/>
    <w:rsid w:val="008A4474"/>
    <w:rsid w:val="008A60CB"/>
    <w:rsid w:val="008B40EB"/>
    <w:rsid w:val="008B4150"/>
    <w:rsid w:val="008C0B09"/>
    <w:rsid w:val="008C136E"/>
    <w:rsid w:val="0090002B"/>
    <w:rsid w:val="00901163"/>
    <w:rsid w:val="00912C45"/>
    <w:rsid w:val="00931D90"/>
    <w:rsid w:val="00942BAD"/>
    <w:rsid w:val="00973E09"/>
    <w:rsid w:val="00976460"/>
    <w:rsid w:val="00982937"/>
    <w:rsid w:val="00984E11"/>
    <w:rsid w:val="00991F3C"/>
    <w:rsid w:val="00995889"/>
    <w:rsid w:val="009A2EE6"/>
    <w:rsid w:val="009A6126"/>
    <w:rsid w:val="009B62B2"/>
    <w:rsid w:val="009C0195"/>
    <w:rsid w:val="009C7259"/>
    <w:rsid w:val="009F2ACA"/>
    <w:rsid w:val="009F305D"/>
    <w:rsid w:val="009F76D9"/>
    <w:rsid w:val="00A05B08"/>
    <w:rsid w:val="00A263C6"/>
    <w:rsid w:val="00A2654E"/>
    <w:rsid w:val="00A36674"/>
    <w:rsid w:val="00A50942"/>
    <w:rsid w:val="00A667D5"/>
    <w:rsid w:val="00A702D8"/>
    <w:rsid w:val="00A779B1"/>
    <w:rsid w:val="00A9701B"/>
    <w:rsid w:val="00AA0027"/>
    <w:rsid w:val="00AA17B4"/>
    <w:rsid w:val="00AD4058"/>
    <w:rsid w:val="00AE49C4"/>
    <w:rsid w:val="00AF3A9D"/>
    <w:rsid w:val="00B0426D"/>
    <w:rsid w:val="00B212E2"/>
    <w:rsid w:val="00B22113"/>
    <w:rsid w:val="00B87471"/>
    <w:rsid w:val="00B975CA"/>
    <w:rsid w:val="00BA2C65"/>
    <w:rsid w:val="00BA5161"/>
    <w:rsid w:val="00BA6468"/>
    <w:rsid w:val="00BC4211"/>
    <w:rsid w:val="00BE2A33"/>
    <w:rsid w:val="00BE37F7"/>
    <w:rsid w:val="00BF2B84"/>
    <w:rsid w:val="00BF54DE"/>
    <w:rsid w:val="00BF76ED"/>
    <w:rsid w:val="00C062C2"/>
    <w:rsid w:val="00C158F7"/>
    <w:rsid w:val="00C16969"/>
    <w:rsid w:val="00C22873"/>
    <w:rsid w:val="00C6319A"/>
    <w:rsid w:val="00C753B0"/>
    <w:rsid w:val="00CC3D5E"/>
    <w:rsid w:val="00CC7520"/>
    <w:rsid w:val="00CC7B75"/>
    <w:rsid w:val="00CD21B4"/>
    <w:rsid w:val="00CD4C99"/>
    <w:rsid w:val="00CF029B"/>
    <w:rsid w:val="00D36275"/>
    <w:rsid w:val="00D52CC0"/>
    <w:rsid w:val="00D6061D"/>
    <w:rsid w:val="00D7161B"/>
    <w:rsid w:val="00D81B9A"/>
    <w:rsid w:val="00DB12CD"/>
    <w:rsid w:val="00DD7C4D"/>
    <w:rsid w:val="00DF0B1E"/>
    <w:rsid w:val="00DF107F"/>
    <w:rsid w:val="00E0030E"/>
    <w:rsid w:val="00E24C5F"/>
    <w:rsid w:val="00E27CCD"/>
    <w:rsid w:val="00E50129"/>
    <w:rsid w:val="00E5383B"/>
    <w:rsid w:val="00EB4E0D"/>
    <w:rsid w:val="00ED76F3"/>
    <w:rsid w:val="00EE1C8B"/>
    <w:rsid w:val="00EE4C86"/>
    <w:rsid w:val="00EF2040"/>
    <w:rsid w:val="00EF700D"/>
    <w:rsid w:val="00F4323E"/>
    <w:rsid w:val="00F5703C"/>
    <w:rsid w:val="00F64FAD"/>
    <w:rsid w:val="00F6578E"/>
    <w:rsid w:val="00F70D62"/>
    <w:rsid w:val="00F94051"/>
    <w:rsid w:val="00FA712B"/>
    <w:rsid w:val="00FC3E22"/>
    <w:rsid w:val="00FC543F"/>
    <w:rsid w:val="00FE0F8F"/>
    <w:rsid w:val="00FF1215"/>
    <w:rsid w:val="00FF2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1579E"/>
  <w15:docId w15:val="{4172DFEB-0759-42ED-86C1-F4C47BB2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6E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character" w:customStyle="1" w:styleId="Balk1Char">
    <w:name w:val="Başlık 1 Char"/>
    <w:basedOn w:val="VarsaylanParagrafYazTipi"/>
    <w:link w:val="Balk1"/>
    <w:uiPriority w:val="9"/>
    <w:rsid w:val="006B6E11"/>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346B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346B10"/>
  </w:style>
  <w:style w:type="character" w:customStyle="1" w:styleId="normaltextrun">
    <w:name w:val="normaltextrun"/>
    <w:basedOn w:val="VarsaylanParagrafYazTipi"/>
    <w:rsid w:val="00346B10"/>
  </w:style>
  <w:style w:type="paragraph" w:customStyle="1" w:styleId="Default">
    <w:name w:val="Default"/>
    <w:rsid w:val="00346B10"/>
    <w:pPr>
      <w:autoSpaceDE w:val="0"/>
      <w:autoSpaceDN w:val="0"/>
      <w:adjustRightInd w:val="0"/>
      <w:spacing w:after="0" w:line="240" w:lineRule="auto"/>
    </w:pPr>
    <w:rPr>
      <w:rFonts w:ascii="Arial" w:hAnsi="Arial" w:cs="Arial"/>
      <w:color w:val="000000"/>
      <w:sz w:val="24"/>
      <w:szCs w:val="24"/>
    </w:rPr>
  </w:style>
  <w:style w:type="character" w:styleId="AklamaBavurusu">
    <w:name w:val="annotation reference"/>
    <w:basedOn w:val="VarsaylanParagrafYazTipi"/>
    <w:uiPriority w:val="99"/>
    <w:semiHidden/>
    <w:unhideWhenUsed/>
    <w:rsid w:val="00346B10"/>
    <w:rPr>
      <w:sz w:val="16"/>
      <w:szCs w:val="16"/>
    </w:rPr>
  </w:style>
  <w:style w:type="paragraph" w:styleId="AklamaMetni">
    <w:name w:val="annotation text"/>
    <w:basedOn w:val="Normal"/>
    <w:link w:val="AklamaMetniChar"/>
    <w:uiPriority w:val="99"/>
    <w:semiHidden/>
    <w:unhideWhenUsed/>
    <w:rsid w:val="00346B1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6B10"/>
    <w:rPr>
      <w:sz w:val="20"/>
      <w:szCs w:val="20"/>
    </w:rPr>
  </w:style>
  <w:style w:type="paragraph" w:styleId="AklamaKonusu">
    <w:name w:val="annotation subject"/>
    <w:basedOn w:val="AklamaMetni"/>
    <w:next w:val="AklamaMetni"/>
    <w:link w:val="AklamaKonusuChar"/>
    <w:uiPriority w:val="99"/>
    <w:semiHidden/>
    <w:unhideWhenUsed/>
    <w:rsid w:val="00346B10"/>
    <w:rPr>
      <w:b/>
      <w:bCs/>
    </w:rPr>
  </w:style>
  <w:style w:type="character" w:customStyle="1" w:styleId="AklamaKonusuChar">
    <w:name w:val="Açıklama Konusu Char"/>
    <w:basedOn w:val="AklamaMetniChar"/>
    <w:link w:val="AklamaKonusu"/>
    <w:uiPriority w:val="99"/>
    <w:semiHidden/>
    <w:rsid w:val="00346B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79145629">
      <w:bodyDiv w:val="1"/>
      <w:marLeft w:val="0"/>
      <w:marRight w:val="0"/>
      <w:marTop w:val="0"/>
      <w:marBottom w:val="0"/>
      <w:divBdr>
        <w:top w:val="none" w:sz="0" w:space="0" w:color="auto"/>
        <w:left w:val="none" w:sz="0" w:space="0" w:color="auto"/>
        <w:bottom w:val="none" w:sz="0" w:space="0" w:color="auto"/>
        <w:right w:val="none" w:sz="0" w:space="0" w:color="auto"/>
      </w:divBdr>
    </w:div>
    <w:div w:id="287006331">
      <w:bodyDiv w:val="1"/>
      <w:marLeft w:val="0"/>
      <w:marRight w:val="0"/>
      <w:marTop w:val="0"/>
      <w:marBottom w:val="0"/>
      <w:divBdr>
        <w:top w:val="none" w:sz="0" w:space="0" w:color="auto"/>
        <w:left w:val="none" w:sz="0" w:space="0" w:color="auto"/>
        <w:bottom w:val="none" w:sz="0" w:space="0" w:color="auto"/>
        <w:right w:val="none" w:sz="0" w:space="0" w:color="auto"/>
      </w:divBdr>
    </w:div>
    <w:div w:id="325401741">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002955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21545692">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30683753">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46681561">
      <w:bodyDiv w:val="1"/>
      <w:marLeft w:val="0"/>
      <w:marRight w:val="0"/>
      <w:marTop w:val="0"/>
      <w:marBottom w:val="0"/>
      <w:divBdr>
        <w:top w:val="none" w:sz="0" w:space="0" w:color="auto"/>
        <w:left w:val="none" w:sz="0" w:space="0" w:color="auto"/>
        <w:bottom w:val="none" w:sz="0" w:space="0" w:color="auto"/>
        <w:right w:val="none" w:sz="0" w:space="0" w:color="auto"/>
      </w:divBdr>
    </w:div>
    <w:div w:id="1050954234">
      <w:bodyDiv w:val="1"/>
      <w:marLeft w:val="0"/>
      <w:marRight w:val="0"/>
      <w:marTop w:val="0"/>
      <w:marBottom w:val="0"/>
      <w:divBdr>
        <w:top w:val="none" w:sz="0" w:space="0" w:color="auto"/>
        <w:left w:val="none" w:sz="0" w:space="0" w:color="auto"/>
        <w:bottom w:val="none" w:sz="0" w:space="0" w:color="auto"/>
        <w:right w:val="none" w:sz="0" w:space="0" w:color="auto"/>
      </w:divBdr>
    </w:div>
    <w:div w:id="1063675478">
      <w:bodyDiv w:val="1"/>
      <w:marLeft w:val="0"/>
      <w:marRight w:val="0"/>
      <w:marTop w:val="0"/>
      <w:marBottom w:val="0"/>
      <w:divBdr>
        <w:top w:val="none" w:sz="0" w:space="0" w:color="auto"/>
        <w:left w:val="none" w:sz="0" w:space="0" w:color="auto"/>
        <w:bottom w:val="none" w:sz="0" w:space="0" w:color="auto"/>
        <w:right w:val="none" w:sz="0" w:space="0" w:color="auto"/>
      </w:divBdr>
    </w:div>
    <w:div w:id="1192114307">
      <w:bodyDiv w:val="1"/>
      <w:marLeft w:val="0"/>
      <w:marRight w:val="0"/>
      <w:marTop w:val="0"/>
      <w:marBottom w:val="0"/>
      <w:divBdr>
        <w:top w:val="none" w:sz="0" w:space="0" w:color="auto"/>
        <w:left w:val="none" w:sz="0" w:space="0" w:color="auto"/>
        <w:bottom w:val="none" w:sz="0" w:space="0" w:color="auto"/>
        <w:right w:val="none" w:sz="0" w:space="0" w:color="auto"/>
      </w:divBdr>
    </w:div>
    <w:div w:id="1213805362">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62026979">
      <w:bodyDiv w:val="1"/>
      <w:marLeft w:val="0"/>
      <w:marRight w:val="0"/>
      <w:marTop w:val="0"/>
      <w:marBottom w:val="0"/>
      <w:divBdr>
        <w:top w:val="none" w:sz="0" w:space="0" w:color="auto"/>
        <w:left w:val="none" w:sz="0" w:space="0" w:color="auto"/>
        <w:bottom w:val="none" w:sz="0" w:space="0" w:color="auto"/>
        <w:right w:val="none" w:sz="0" w:space="0" w:color="auto"/>
      </w:divBdr>
    </w:div>
    <w:div w:id="1312978072">
      <w:bodyDiv w:val="1"/>
      <w:marLeft w:val="0"/>
      <w:marRight w:val="0"/>
      <w:marTop w:val="0"/>
      <w:marBottom w:val="0"/>
      <w:divBdr>
        <w:top w:val="none" w:sz="0" w:space="0" w:color="auto"/>
        <w:left w:val="none" w:sz="0" w:space="0" w:color="auto"/>
        <w:bottom w:val="none" w:sz="0" w:space="0" w:color="auto"/>
        <w:right w:val="none" w:sz="0" w:space="0" w:color="auto"/>
      </w:divBdr>
    </w:div>
    <w:div w:id="1333992803">
      <w:bodyDiv w:val="1"/>
      <w:marLeft w:val="0"/>
      <w:marRight w:val="0"/>
      <w:marTop w:val="0"/>
      <w:marBottom w:val="0"/>
      <w:divBdr>
        <w:top w:val="none" w:sz="0" w:space="0" w:color="auto"/>
        <w:left w:val="none" w:sz="0" w:space="0" w:color="auto"/>
        <w:bottom w:val="none" w:sz="0" w:space="0" w:color="auto"/>
        <w:right w:val="none" w:sz="0" w:space="0" w:color="auto"/>
      </w:divBdr>
    </w:div>
    <w:div w:id="1485466579">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23727384">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11188753">
      <w:bodyDiv w:val="1"/>
      <w:marLeft w:val="0"/>
      <w:marRight w:val="0"/>
      <w:marTop w:val="0"/>
      <w:marBottom w:val="0"/>
      <w:divBdr>
        <w:top w:val="none" w:sz="0" w:space="0" w:color="auto"/>
        <w:left w:val="none" w:sz="0" w:space="0" w:color="auto"/>
        <w:bottom w:val="none" w:sz="0" w:space="0" w:color="auto"/>
        <w:right w:val="none" w:sz="0" w:space="0" w:color="auto"/>
      </w:divBdr>
    </w:div>
    <w:div w:id="1934431569">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6DF36-2575-47E4-A1FF-3A62A225D9C2}">
  <ds:schemaRefs>
    <ds:schemaRef ds:uri="http://schemas.microsoft.com/sharepoint/v3/contenttype/forms"/>
  </ds:schemaRefs>
</ds:datastoreItem>
</file>

<file path=customXml/itemProps2.xml><?xml version="1.0" encoding="utf-8"?>
<ds:datastoreItem xmlns:ds="http://schemas.openxmlformats.org/officeDocument/2006/customXml" ds:itemID="{91AE05BC-DF8E-4396-BA5D-F63B18430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1484</Words>
  <Characters>8462</Characters>
  <Application>Microsoft Office Word</Application>
  <DocSecurity>4</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2021-07-08T07:52:00Z</cp:lastPrinted>
  <dcterms:created xsi:type="dcterms:W3CDTF">2024-07-17T06:47:00Z</dcterms:created>
  <dcterms:modified xsi:type="dcterms:W3CDTF">2024-07-17T06:47:00Z</dcterms:modified>
</cp:coreProperties>
</file>